
<file path=[Content_Types].xml><?xml version="1.0" encoding="utf-8"?>
<Types xmlns="http://schemas.openxmlformats.org/package/2006/content-types">
  <Default Extension="xml" ContentType="application/xml"/>
  <Default Extension="jpeg" ContentType="image/jpe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jc w:val="center"/>
        <w:rPr>
          <w:rFonts w:ascii="Times New Roman" w:hAnsi="Times New Roman" w:cs="Times New Roman" w:eastAsiaTheme="majorEastAsia"/>
          <w:color w:val="auto"/>
          <w:sz w:val="21"/>
          <w:szCs w:val="21"/>
        </w:rPr>
      </w:pPr>
      <w:bookmarkStart w:id="45" w:name="_GoBack"/>
    </w:p>
    <w:p>
      <w:pPr>
        <w:snapToGrid w:val="0"/>
        <w:jc w:val="center"/>
        <w:rPr>
          <w:rFonts w:ascii="Times New Roman" w:hAnsi="Times New Roman" w:cs="Times New Roman" w:eastAsiaTheme="majorEastAsia"/>
          <w:color w:val="auto"/>
          <w:sz w:val="48"/>
          <w:szCs w:val="48"/>
        </w:rPr>
      </w:pPr>
      <w:r>
        <w:rPr>
          <w:rFonts w:ascii="Times New Roman" w:hAnsi="Times New Roman" w:cs="Times New Roman" w:eastAsiaTheme="majorEastAsia"/>
          <w:color w:val="auto"/>
          <w:sz w:val="48"/>
          <w:szCs w:val="48"/>
        </w:rPr>
        <w:t>防城港市海洋环境保护规划</w:t>
      </w:r>
    </w:p>
    <w:p>
      <w:pPr>
        <w:snapToGrid w:val="0"/>
        <w:jc w:val="center"/>
        <w:rPr>
          <w:rFonts w:ascii="Times New Roman" w:hAnsi="Times New Roman" w:cs="Times New Roman" w:eastAsiaTheme="majorEastAsia"/>
          <w:color w:val="auto"/>
          <w:sz w:val="48"/>
          <w:szCs w:val="48"/>
        </w:rPr>
      </w:pPr>
      <w:r>
        <w:rPr>
          <w:rFonts w:ascii="Times New Roman" w:hAnsi="Times New Roman" w:cs="Times New Roman" w:eastAsiaTheme="majorEastAsia"/>
          <w:color w:val="auto"/>
          <w:sz w:val="48"/>
          <w:szCs w:val="48"/>
        </w:rPr>
        <w:t>（2016-2025）</w:t>
      </w:r>
    </w:p>
    <w:p>
      <w:pPr>
        <w:snapToGrid w:val="0"/>
        <w:jc w:val="center"/>
        <w:rPr>
          <w:rFonts w:ascii="Times New Roman" w:hAnsi="Times New Roman" w:cs="Times New Roman" w:eastAsiaTheme="majorEastAsia"/>
          <w:b/>
          <w:color w:val="auto"/>
          <w:sz w:val="52"/>
          <w:szCs w:val="52"/>
        </w:rPr>
      </w:pPr>
      <w:r>
        <w:rPr>
          <w:rFonts w:ascii="Times New Roman" w:hAnsi="Times New Roman" w:cs="Times New Roman" w:eastAsiaTheme="majorEastAsia"/>
          <w:b/>
          <w:color w:val="auto"/>
          <w:sz w:val="52"/>
          <w:szCs w:val="52"/>
        </w:rPr>
        <w:t>（报批稿）</w:t>
      </w:r>
    </w:p>
    <w:p>
      <w:pPr>
        <w:snapToGrid w:val="0"/>
        <w:jc w:val="center"/>
        <w:rPr>
          <w:rFonts w:ascii="Times New Roman" w:hAnsi="Times New Roman" w:cs="Times New Roman" w:eastAsiaTheme="majorEastAsia"/>
          <w:color w:val="auto"/>
          <w:sz w:val="21"/>
          <w:szCs w:val="21"/>
        </w:rPr>
      </w:pPr>
    </w:p>
    <w:p>
      <w:pPr>
        <w:snapToGrid w:val="0"/>
        <w:ind w:left="-1944" w:leftChars="-810" w:right="-2002" w:rightChars="-834"/>
        <w:jc w:val="center"/>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drawing>
          <wp:inline distT="0" distB="0" distL="0" distR="0">
            <wp:extent cx="6590665" cy="4943475"/>
            <wp:effectExtent l="19050" t="0" r="1" b="0"/>
            <wp:docPr id="3" name="图片 2" descr="手绘封面(白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手绘封面(白鹭).jpg"/>
                    <pic:cNvPicPr>
                      <a:picLocks noChangeAspect="1"/>
                    </pic:cNvPicPr>
                  </pic:nvPicPr>
                  <pic:blipFill>
                    <a:blip r:embed="rId12" cstate="print"/>
                    <a:stretch>
                      <a:fillRect/>
                    </a:stretch>
                  </pic:blipFill>
                  <pic:spPr>
                    <a:xfrm>
                      <a:off x="0" y="0"/>
                      <a:ext cx="6590226" cy="4942670"/>
                    </a:xfrm>
                    <a:prstGeom prst="rect">
                      <a:avLst/>
                    </a:prstGeom>
                    <a:ln>
                      <a:noFill/>
                    </a:ln>
                    <a:effectLst>
                      <a:softEdge rad="112500"/>
                    </a:effectLst>
                  </pic:spPr>
                </pic:pic>
              </a:graphicData>
            </a:graphic>
          </wp:inline>
        </w:drawing>
      </w:r>
    </w:p>
    <w:p>
      <w:pPr>
        <w:snapToGrid w:val="0"/>
        <w:jc w:val="center"/>
        <w:rPr>
          <w:rFonts w:ascii="Times New Roman" w:hAnsi="Times New Roman" w:cs="Times New Roman" w:eastAsiaTheme="majorEastAsia"/>
          <w:color w:val="auto"/>
          <w:sz w:val="28"/>
          <w:szCs w:val="28"/>
        </w:rPr>
      </w:pPr>
    </w:p>
    <w:p>
      <w:pPr>
        <w:snapToGrid w:val="0"/>
        <w:jc w:val="center"/>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防城港市海洋局</w:t>
      </w:r>
    </w:p>
    <w:p>
      <w:pPr>
        <w:snapToGrid w:val="0"/>
        <w:jc w:val="center"/>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广西壮族自治区海洋研究院</w:t>
      </w:r>
    </w:p>
    <w:p>
      <w:pPr>
        <w:snapToGrid w:val="0"/>
        <w:jc w:val="center"/>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二〇一</w:t>
      </w:r>
      <w:r>
        <w:rPr>
          <w:rFonts w:hint="eastAsia" w:ascii="Times New Roman" w:hAnsi="Times New Roman" w:cs="Times New Roman" w:eastAsiaTheme="majorEastAsia"/>
          <w:color w:val="auto"/>
          <w:sz w:val="28"/>
          <w:szCs w:val="28"/>
        </w:rPr>
        <w:t>八</w:t>
      </w:r>
      <w:r>
        <w:rPr>
          <w:rFonts w:ascii="Times New Roman" w:hAnsi="Times New Roman" w:cs="Times New Roman" w:eastAsiaTheme="majorEastAsia"/>
          <w:color w:val="auto"/>
          <w:sz w:val="28"/>
          <w:szCs w:val="28"/>
        </w:rPr>
        <w:t>年</w:t>
      </w:r>
      <w:r>
        <w:rPr>
          <w:rFonts w:hint="eastAsia" w:ascii="Times New Roman" w:hAnsi="Times New Roman" w:cs="Times New Roman" w:eastAsiaTheme="majorEastAsia"/>
          <w:color w:val="auto"/>
          <w:sz w:val="28"/>
          <w:szCs w:val="28"/>
          <w:lang w:eastAsia="zh-CN"/>
        </w:rPr>
        <w:t>六</w:t>
      </w:r>
      <w:r>
        <w:rPr>
          <w:rFonts w:ascii="Times New Roman" w:hAnsi="Times New Roman" w:cs="Times New Roman" w:eastAsiaTheme="majorEastAsia"/>
          <w:color w:val="auto"/>
          <w:sz w:val="28"/>
          <w:szCs w:val="28"/>
        </w:rPr>
        <w:t>月</w:t>
      </w:r>
    </w:p>
    <w:p>
      <w:pPr>
        <w:widowControl/>
        <w:tabs>
          <w:tab w:val="clear" w:pos="750"/>
        </w:tabs>
        <w:spacing w:line="240" w:lineRule="auto"/>
        <w:jc w:val="left"/>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br w:type="page"/>
      </w:r>
    </w:p>
    <w:p>
      <w:pPr>
        <w:pStyle w:val="2"/>
        <w:tabs>
          <w:tab w:val="clear" w:pos="750"/>
        </w:tabs>
        <w:spacing w:before="320" w:after="320" w:line="360" w:lineRule="auto"/>
        <w:jc w:val="center"/>
        <w:rPr>
          <w:rFonts w:ascii="Times New Roman" w:hAnsi="Times New Roman" w:eastAsiaTheme="majorEastAsia"/>
          <w:color w:val="auto"/>
          <w:sz w:val="44"/>
        </w:rPr>
      </w:pPr>
      <w:bookmarkStart w:id="0" w:name="_Toc438980809"/>
      <w:bookmarkStart w:id="1" w:name="_Toc437982094"/>
      <w:bookmarkStart w:id="2" w:name="_Toc441676955"/>
      <w:bookmarkStart w:id="3" w:name="_Toc438015920"/>
      <w:bookmarkStart w:id="4" w:name="_Toc437807629"/>
      <w:r>
        <w:rPr>
          <w:rFonts w:ascii="Times New Roman" w:hAnsi="Times New Roman" w:eastAsiaTheme="majorEastAsia"/>
          <w:color w:val="auto"/>
          <w:sz w:val="44"/>
        </w:rPr>
        <w:t>目  录</w:t>
      </w:r>
      <w:bookmarkEnd w:id="0"/>
      <w:bookmarkEnd w:id="1"/>
      <w:bookmarkEnd w:id="2"/>
      <w:bookmarkEnd w:id="3"/>
      <w:bookmarkEnd w:id="4"/>
    </w:p>
    <w:p>
      <w:pPr>
        <w:pStyle w:val="23"/>
        <w:rPr>
          <w:rFonts w:eastAsiaTheme="majorEastAsia"/>
          <w:color w:val="auto"/>
          <w:sz w:val="21"/>
          <w:szCs w:val="22"/>
        </w:rPr>
      </w:pPr>
      <w:r>
        <w:rPr>
          <w:rFonts w:eastAsiaTheme="majorEastAsia"/>
          <w:color w:val="auto"/>
        </w:rPr>
        <w:fldChar w:fldCharType="begin"/>
      </w:r>
      <w:r>
        <w:rPr>
          <w:rFonts w:eastAsiaTheme="majorEastAsia"/>
          <w:color w:val="auto"/>
        </w:rPr>
        <w:instrText xml:space="preserve"> TOC \o "1-2" \u </w:instrText>
      </w:r>
      <w:r>
        <w:rPr>
          <w:rFonts w:eastAsiaTheme="majorEastAsia"/>
          <w:color w:val="auto"/>
        </w:rPr>
        <w:fldChar w:fldCharType="separate"/>
      </w:r>
      <w:r>
        <w:rPr>
          <w:rFonts w:eastAsiaTheme="majorEastAsia"/>
          <w:color w:val="auto"/>
        </w:rPr>
        <w:t>前  言</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_Toc441676956 \h </w:instrText>
      </w:r>
      <w:r>
        <w:rPr>
          <w:rFonts w:eastAsiaTheme="majorEastAsia"/>
          <w:color w:val="auto"/>
        </w:rPr>
        <w:fldChar w:fldCharType="separate"/>
      </w:r>
      <w:r>
        <w:rPr>
          <w:rFonts w:eastAsiaTheme="majorEastAsia"/>
          <w:color w:val="auto"/>
        </w:rPr>
        <w:t>1</w:t>
      </w:r>
      <w:r>
        <w:rPr>
          <w:rFonts w:eastAsiaTheme="majorEastAsia"/>
          <w:color w:val="auto"/>
        </w:rPr>
        <w:fldChar w:fldCharType="end"/>
      </w:r>
    </w:p>
    <w:p>
      <w:pPr>
        <w:pStyle w:val="23"/>
        <w:rPr>
          <w:rFonts w:eastAsiaTheme="majorEastAsia"/>
          <w:color w:val="auto"/>
          <w:sz w:val="21"/>
          <w:szCs w:val="22"/>
        </w:rPr>
      </w:pPr>
      <w:r>
        <w:rPr>
          <w:rFonts w:eastAsiaTheme="majorEastAsia"/>
          <w:color w:val="auto"/>
        </w:rPr>
        <w:t>第一章 海洋环境保护的形势与需求</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_Toc441676957 \h </w:instrText>
      </w:r>
      <w:r>
        <w:rPr>
          <w:rFonts w:eastAsiaTheme="majorEastAsia"/>
          <w:color w:val="auto"/>
        </w:rPr>
        <w:fldChar w:fldCharType="separate"/>
      </w:r>
      <w:r>
        <w:rPr>
          <w:rFonts w:eastAsiaTheme="majorEastAsia"/>
          <w:color w:val="auto"/>
        </w:rPr>
        <w:t>3</w:t>
      </w:r>
      <w:r>
        <w:rPr>
          <w:rFonts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（一）海洋自然资源与开发利用</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_Toc441676958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3</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（二）海洋环境质量状况</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_Toc441676959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6</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（三）海洋环境保护和管理工作进展</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_Toc441676960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9</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（四）加强海洋环境保护的重要性和紧迫性</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_Toc441676961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13</w:t>
      </w:r>
      <w:r>
        <w:rPr>
          <w:rFonts w:ascii="Times New Roman" w:hAnsi="Times New Roman" w:cs="Times New Roman" w:eastAsiaTheme="majorEastAsia"/>
          <w:color w:val="auto"/>
        </w:rPr>
        <w:fldChar w:fldCharType="end"/>
      </w:r>
    </w:p>
    <w:p>
      <w:pPr>
        <w:pStyle w:val="23"/>
        <w:rPr>
          <w:rFonts w:eastAsiaTheme="majorEastAsia"/>
          <w:color w:val="auto"/>
          <w:sz w:val="21"/>
          <w:szCs w:val="22"/>
        </w:rPr>
      </w:pPr>
      <w:r>
        <w:rPr>
          <w:rFonts w:eastAsiaTheme="majorEastAsia"/>
          <w:color w:val="auto"/>
        </w:rPr>
        <w:t>第二章 指导思想、基本原则和规划目标</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_Toc441676962 \h </w:instrText>
      </w:r>
      <w:r>
        <w:rPr>
          <w:rFonts w:eastAsiaTheme="majorEastAsia"/>
          <w:color w:val="auto"/>
        </w:rPr>
        <w:fldChar w:fldCharType="separate"/>
      </w:r>
      <w:r>
        <w:rPr>
          <w:rFonts w:eastAsiaTheme="majorEastAsia"/>
          <w:color w:val="auto"/>
        </w:rPr>
        <w:t>18</w:t>
      </w:r>
      <w:r>
        <w:rPr>
          <w:rFonts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（一）指导思想</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_Toc441676963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18</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（二）基本原则</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_Toc441676964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18</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（三）规划目标</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_Toc441676965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19</w:t>
      </w:r>
      <w:r>
        <w:rPr>
          <w:rFonts w:ascii="Times New Roman" w:hAnsi="Times New Roman" w:cs="Times New Roman" w:eastAsiaTheme="majorEastAsia"/>
          <w:color w:val="auto"/>
        </w:rPr>
        <w:fldChar w:fldCharType="end"/>
      </w:r>
    </w:p>
    <w:p>
      <w:pPr>
        <w:pStyle w:val="23"/>
        <w:rPr>
          <w:rFonts w:eastAsiaTheme="majorEastAsia"/>
          <w:color w:val="auto"/>
          <w:sz w:val="21"/>
          <w:szCs w:val="22"/>
        </w:rPr>
      </w:pPr>
      <w:r>
        <w:rPr>
          <w:rFonts w:eastAsiaTheme="majorEastAsia"/>
          <w:color w:val="auto"/>
        </w:rPr>
        <w:t>第三章 海洋环境保护与建设的布局和任务</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_Toc441676966 \h </w:instrText>
      </w:r>
      <w:r>
        <w:rPr>
          <w:rFonts w:eastAsiaTheme="majorEastAsia"/>
          <w:color w:val="auto"/>
        </w:rPr>
        <w:fldChar w:fldCharType="separate"/>
      </w:r>
      <w:r>
        <w:rPr>
          <w:rFonts w:eastAsiaTheme="majorEastAsia"/>
          <w:color w:val="auto"/>
        </w:rPr>
        <w:t>26</w:t>
      </w:r>
      <w:r>
        <w:rPr>
          <w:rFonts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color w:val="auto"/>
        </w:rPr>
        <w:t>（一）区划布局</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_Toc441676967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26</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（二）主要任务</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_Toc441676968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29</w:t>
      </w:r>
      <w:r>
        <w:rPr>
          <w:rFonts w:ascii="Times New Roman" w:hAnsi="Times New Roman" w:cs="Times New Roman" w:eastAsiaTheme="majorEastAsia"/>
          <w:color w:val="auto"/>
        </w:rPr>
        <w:fldChar w:fldCharType="end"/>
      </w:r>
    </w:p>
    <w:p>
      <w:pPr>
        <w:pStyle w:val="23"/>
        <w:rPr>
          <w:rFonts w:eastAsiaTheme="majorEastAsia"/>
          <w:color w:val="auto"/>
          <w:sz w:val="21"/>
          <w:szCs w:val="22"/>
        </w:rPr>
      </w:pPr>
      <w:r>
        <w:rPr>
          <w:rFonts w:eastAsiaTheme="majorEastAsia"/>
          <w:color w:val="auto"/>
        </w:rPr>
        <w:t>第四章 规划实施的保障措施</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_Toc441676969 \h </w:instrText>
      </w:r>
      <w:r>
        <w:rPr>
          <w:rFonts w:eastAsiaTheme="majorEastAsia"/>
          <w:color w:val="auto"/>
        </w:rPr>
        <w:fldChar w:fldCharType="separate"/>
      </w:r>
      <w:r>
        <w:rPr>
          <w:rFonts w:eastAsiaTheme="majorEastAsia"/>
          <w:color w:val="auto"/>
        </w:rPr>
        <w:t>39</w:t>
      </w:r>
      <w:r>
        <w:rPr>
          <w:rFonts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（一）加强制度建设，完善监督考核</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_Toc441676970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39</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（二）落实陆海统筹，强化综合管控</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_Toc441676971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39</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（三）加强宣传教育，调动全民参与</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_Toc441676972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40</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（四）坚持内引外联，夯实科技支撑</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_Toc441676973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40</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（五）创新体制机制，扩大投入途径</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_Toc441676974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41</w:t>
      </w:r>
      <w:r>
        <w:rPr>
          <w:rFonts w:ascii="Times New Roman" w:hAnsi="Times New Roman" w:cs="Times New Roman" w:eastAsiaTheme="majorEastAsia"/>
          <w:color w:val="auto"/>
        </w:rPr>
        <w:fldChar w:fldCharType="end"/>
      </w:r>
    </w:p>
    <w:p>
      <w:pPr>
        <w:pStyle w:val="27"/>
        <w:tabs>
          <w:tab w:val="right" w:leader="dot" w:pos="8297"/>
        </w:tabs>
        <w:ind w:left="480"/>
        <w:rPr>
          <w:rFonts w:ascii="Times New Roman" w:hAnsi="Times New Roman" w:cs="Times New Roman" w:eastAsiaTheme="majorEastAsia"/>
          <w:color w:val="auto"/>
          <w:sz w:val="21"/>
          <w:szCs w:val="22"/>
        </w:rPr>
      </w:pPr>
      <w:r>
        <w:rPr>
          <w:rFonts w:ascii="Times New Roman" w:hAnsi="Times New Roman" w:cs="Times New Roman" w:eastAsiaTheme="majorEastAsia"/>
          <w:bCs/>
          <w:color w:val="auto"/>
        </w:rPr>
        <w:t>（六）深化交流合作，提升海洋环保能力</w:t>
      </w:r>
      <w:r>
        <w:rPr>
          <w:rFonts w:ascii="Times New Roman" w:hAnsi="Times New Roman" w:cs="Times New Roman" w:eastAsiaTheme="majorEastAsia"/>
          <w:color w:val="auto"/>
        </w:rPr>
        <w:tab/>
      </w:r>
      <w:r>
        <w:rPr>
          <w:rFonts w:ascii="Times New Roman" w:hAnsi="Times New Roman" w:cs="Times New Roman" w:eastAsiaTheme="majorEastAsia"/>
          <w:color w:val="auto"/>
        </w:rPr>
        <w:fldChar w:fldCharType="begin"/>
      </w:r>
      <w:r>
        <w:rPr>
          <w:rFonts w:ascii="Times New Roman" w:hAnsi="Times New Roman" w:cs="Times New Roman" w:eastAsiaTheme="majorEastAsia"/>
          <w:color w:val="auto"/>
        </w:rPr>
        <w:instrText xml:space="preserve"> PAGEREF _Toc441676975 \h </w:instrText>
      </w:r>
      <w:r>
        <w:rPr>
          <w:rFonts w:ascii="Times New Roman" w:hAnsi="Times New Roman" w:cs="Times New Roman" w:eastAsiaTheme="majorEastAsia"/>
          <w:color w:val="auto"/>
        </w:rPr>
        <w:fldChar w:fldCharType="separate"/>
      </w:r>
      <w:r>
        <w:rPr>
          <w:rFonts w:ascii="Times New Roman" w:hAnsi="Times New Roman" w:cs="Times New Roman" w:eastAsiaTheme="majorEastAsia"/>
          <w:color w:val="auto"/>
        </w:rPr>
        <w:t>41</w:t>
      </w:r>
      <w:r>
        <w:rPr>
          <w:rFonts w:ascii="Times New Roman" w:hAnsi="Times New Roman" w:cs="Times New Roman" w:eastAsiaTheme="majorEastAsia"/>
          <w:color w:val="auto"/>
        </w:rPr>
        <w:fldChar w:fldCharType="end"/>
      </w:r>
    </w:p>
    <w:p>
      <w:pPr>
        <w:pStyle w:val="23"/>
        <w:rPr>
          <w:rFonts w:eastAsiaTheme="majorEastAsia"/>
          <w:color w:val="auto"/>
          <w:sz w:val="21"/>
          <w:szCs w:val="22"/>
        </w:rPr>
      </w:pPr>
      <w:r>
        <w:rPr>
          <w:rFonts w:eastAsiaTheme="majorEastAsia"/>
          <w:color w:val="auto"/>
        </w:rPr>
        <w:t>附表1  防城港市近岸海洋环境保护与建设空间布局管控登记表</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_Toc441676976 \h </w:instrText>
      </w:r>
      <w:r>
        <w:rPr>
          <w:rFonts w:eastAsiaTheme="majorEastAsia"/>
          <w:color w:val="auto"/>
        </w:rPr>
        <w:fldChar w:fldCharType="separate"/>
      </w:r>
      <w:r>
        <w:rPr>
          <w:rFonts w:eastAsiaTheme="majorEastAsia"/>
          <w:color w:val="auto"/>
        </w:rPr>
        <w:t>42</w:t>
      </w:r>
      <w:r>
        <w:rPr>
          <w:rFonts w:eastAsiaTheme="majorEastAsia"/>
          <w:color w:val="auto"/>
        </w:rPr>
        <w:fldChar w:fldCharType="end"/>
      </w:r>
    </w:p>
    <w:p>
      <w:pPr>
        <w:pStyle w:val="23"/>
        <w:rPr>
          <w:rFonts w:eastAsiaTheme="majorEastAsia"/>
          <w:color w:val="auto"/>
          <w:sz w:val="21"/>
          <w:szCs w:val="22"/>
        </w:rPr>
      </w:pPr>
      <w:r>
        <w:rPr>
          <w:rFonts w:eastAsiaTheme="majorEastAsia"/>
          <w:color w:val="auto"/>
        </w:rPr>
        <w:t>附表2  防城港市海洋环境保护规划重点工程</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_Toc441676977 \h </w:instrText>
      </w:r>
      <w:r>
        <w:rPr>
          <w:rFonts w:eastAsiaTheme="majorEastAsia"/>
          <w:color w:val="auto"/>
        </w:rPr>
        <w:fldChar w:fldCharType="separate"/>
      </w:r>
      <w:r>
        <w:rPr>
          <w:rFonts w:eastAsiaTheme="majorEastAsia"/>
          <w:color w:val="auto"/>
        </w:rPr>
        <w:t>49</w:t>
      </w:r>
      <w:r>
        <w:rPr>
          <w:rFonts w:eastAsiaTheme="majorEastAsia"/>
          <w:color w:val="auto"/>
        </w:rPr>
        <w:fldChar w:fldCharType="end"/>
      </w:r>
    </w:p>
    <w:p>
      <w:pPr>
        <w:pStyle w:val="23"/>
        <w:rPr>
          <w:rFonts w:eastAsiaTheme="majorEastAsia"/>
          <w:color w:val="auto"/>
          <w:sz w:val="21"/>
          <w:szCs w:val="22"/>
        </w:rPr>
      </w:pPr>
      <w:r>
        <w:rPr>
          <w:rFonts w:eastAsiaTheme="majorEastAsia"/>
          <w:color w:val="auto"/>
        </w:rPr>
        <w:t>附图1  防城港市近岸海洋环境保护与建设空间布局图</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_Toc441676978 \h </w:instrText>
      </w:r>
      <w:r>
        <w:rPr>
          <w:rFonts w:eastAsiaTheme="majorEastAsia"/>
          <w:color w:val="auto"/>
        </w:rPr>
        <w:fldChar w:fldCharType="separate"/>
      </w:r>
      <w:r>
        <w:rPr>
          <w:rFonts w:eastAsiaTheme="majorEastAsia"/>
          <w:color w:val="auto"/>
        </w:rPr>
        <w:t>53</w:t>
      </w:r>
      <w:r>
        <w:rPr>
          <w:rFonts w:eastAsiaTheme="majorEastAsia"/>
          <w:color w:val="auto"/>
        </w:rPr>
        <w:fldChar w:fldCharType="end"/>
      </w:r>
    </w:p>
    <w:p>
      <w:pPr>
        <w:pStyle w:val="23"/>
        <w:rPr>
          <w:rFonts w:eastAsiaTheme="majorEastAsia"/>
          <w:color w:val="auto"/>
          <w:sz w:val="21"/>
          <w:szCs w:val="22"/>
        </w:rPr>
      </w:pPr>
      <w:r>
        <w:rPr>
          <w:rFonts w:eastAsiaTheme="majorEastAsia"/>
          <w:color w:val="auto"/>
        </w:rPr>
        <w:t>附图2  防城港市近岸海洋环境监测站位分布图</w:t>
      </w:r>
      <w:r>
        <w:rPr>
          <w:rFonts w:eastAsiaTheme="majorEastAsia"/>
          <w:color w:val="auto"/>
        </w:rPr>
        <w:tab/>
      </w:r>
      <w:r>
        <w:rPr>
          <w:rFonts w:eastAsiaTheme="majorEastAsia"/>
          <w:color w:val="auto"/>
        </w:rPr>
        <w:fldChar w:fldCharType="begin"/>
      </w:r>
      <w:r>
        <w:rPr>
          <w:rFonts w:eastAsiaTheme="majorEastAsia"/>
          <w:color w:val="auto"/>
        </w:rPr>
        <w:instrText xml:space="preserve"> PAGEREF _Toc441676979 \h </w:instrText>
      </w:r>
      <w:r>
        <w:rPr>
          <w:rFonts w:eastAsiaTheme="majorEastAsia"/>
          <w:color w:val="auto"/>
        </w:rPr>
        <w:fldChar w:fldCharType="separate"/>
      </w:r>
      <w:r>
        <w:rPr>
          <w:rFonts w:eastAsiaTheme="majorEastAsia"/>
          <w:color w:val="auto"/>
        </w:rPr>
        <w:t>54</w:t>
      </w:r>
      <w:r>
        <w:rPr>
          <w:rFonts w:eastAsiaTheme="majorEastAsia"/>
          <w:color w:val="auto"/>
        </w:rPr>
        <w:fldChar w:fldCharType="end"/>
      </w:r>
    </w:p>
    <w:p>
      <w:pPr>
        <w:jc w:val="center"/>
        <w:rPr>
          <w:rFonts w:ascii="Times New Roman" w:hAnsi="Times New Roman" w:cs="Times New Roman" w:eastAsiaTheme="majorEastAsia"/>
          <w:color w:val="auto"/>
        </w:rPr>
      </w:pPr>
      <w:r>
        <w:rPr>
          <w:rFonts w:ascii="Times New Roman" w:hAnsi="Times New Roman" w:cs="Times New Roman" w:eastAsiaTheme="majorEastAsia"/>
          <w:color w:val="auto"/>
        </w:rPr>
        <w:fldChar w:fldCharType="end"/>
      </w:r>
    </w:p>
    <w:p>
      <w:pPr>
        <w:widowControl/>
        <w:tabs>
          <w:tab w:val="clear" w:pos="750"/>
        </w:tabs>
        <w:spacing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br w:type="page"/>
      </w:r>
    </w:p>
    <w:p>
      <w:pPr>
        <w:jc w:val="center"/>
        <w:rPr>
          <w:rFonts w:ascii="Times New Roman" w:hAnsi="Times New Roman" w:cs="Times New Roman" w:eastAsiaTheme="majorEastAsia"/>
          <w:color w:val="auto"/>
        </w:rPr>
      </w:pPr>
    </w:p>
    <w:p>
      <w:pPr>
        <w:jc w:val="center"/>
        <w:rPr>
          <w:rFonts w:ascii="Times New Roman" w:hAnsi="Times New Roman" w:cs="Times New Roman" w:eastAsiaTheme="majorEastAsia"/>
          <w:color w:val="auto"/>
        </w:rPr>
      </w:pPr>
    </w:p>
    <w:p>
      <w:pPr>
        <w:jc w:val="center"/>
        <w:rPr>
          <w:rFonts w:ascii="Times New Roman" w:hAnsi="Times New Roman" w:cs="Times New Roman" w:eastAsiaTheme="majorEastAsia"/>
          <w:color w:val="auto"/>
        </w:rPr>
        <w:sectPr>
          <w:headerReference r:id="rId5" w:type="first"/>
          <w:footerReference r:id="rId6" w:type="default"/>
          <w:headerReference r:id="rId4" w:type="even"/>
          <w:pgSz w:w="11907" w:h="16839"/>
          <w:pgMar w:top="1440" w:right="1800" w:bottom="1440" w:left="1800" w:header="851" w:footer="992" w:gutter="0"/>
          <w:pgNumType w:start="0"/>
          <w:cols w:space="425" w:num="1"/>
          <w:docGrid w:type="lines" w:linePitch="326" w:charSpace="0"/>
        </w:sectPr>
      </w:pPr>
    </w:p>
    <w:p>
      <w:pPr>
        <w:pStyle w:val="2"/>
        <w:tabs>
          <w:tab w:val="clear" w:pos="750"/>
        </w:tabs>
        <w:spacing w:before="320" w:after="320" w:line="360" w:lineRule="auto"/>
        <w:jc w:val="center"/>
        <w:rPr>
          <w:rFonts w:ascii="Times New Roman" w:hAnsi="Times New Roman" w:eastAsiaTheme="majorEastAsia"/>
          <w:color w:val="auto"/>
          <w:sz w:val="44"/>
        </w:rPr>
      </w:pPr>
      <w:bookmarkStart w:id="5" w:name="_Toc441676956"/>
      <w:r>
        <w:rPr>
          <w:rFonts w:ascii="Times New Roman" w:hAnsi="Times New Roman" w:eastAsiaTheme="majorEastAsia"/>
          <w:color w:val="auto"/>
          <w:sz w:val="44"/>
        </w:rPr>
        <w:t>前  言</w:t>
      </w:r>
      <w:bookmarkEnd w:id="5"/>
    </w:p>
    <w:p>
      <w:pPr>
        <w:widowControl/>
        <w:tabs>
          <w:tab w:val="clear" w:pos="750"/>
        </w:tabs>
        <w:spacing w:line="240" w:lineRule="auto"/>
        <w:ind w:firstLine="560" w:firstLineChars="200"/>
        <w:jc w:val="left"/>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中国共产党十八届五中全会强调：当前我国发展的环境、条件、任务、要求等都发生了新的变化，必须适应新常态、把握新常态、引领新常态，保持经济社会持续健康发展；明确要求“必须牢固树立创新、协调、绿色、开放、共享的发展理念”。“十二五”期间，防城港市主动对接国家和广西发展战略，厚植发展优势，全面推进边海经济带建设，市域经济实现平稳较快增长，形成了边海联动、产业聚集的发展新格局。2015年全市生产总值增速居全区第二位，主要经济指标增幅或总量居广西前列，13项指标基本实现翻番，海洋经济成为拉动区域发展的重要增长点，海洋产业成为支柱产业。然而，在开发利用海洋资源、推动社会经济快速发展的同时，也造成了局部海域环境污染和海洋生态破坏。今后五到十年，正是防城港市“全面建成小康社会，基本建成国际通道枢纽城市、现代工业城市、生态宜居城市、海洋文化名市”的关键时期，建设海洋生态文明、改善海洋生态环境、合理布局临海产业、发展绿色海洋经济，成为防城港市建设边海经济带新战略、实现打造广西“两个建成”先行区宏伟目标的重点任务。</w:t>
      </w:r>
    </w:p>
    <w:p>
      <w:pPr>
        <w:widowControl/>
        <w:tabs>
          <w:tab w:val="clear" w:pos="750"/>
        </w:tabs>
        <w:spacing w:line="240" w:lineRule="auto"/>
        <w:ind w:firstLine="560" w:firstLineChars="200"/>
        <w:jc w:val="left"/>
        <w:rPr>
          <w:rFonts w:ascii="Times New Roman" w:hAnsi="Times New Roman" w:cs="Times New Roman" w:eastAsiaTheme="majorEastAsia"/>
          <w:b/>
          <w:bCs/>
          <w:color w:val="auto"/>
          <w:kern w:val="44"/>
          <w:sz w:val="44"/>
          <w:szCs w:val="44"/>
        </w:rPr>
      </w:pPr>
      <w:r>
        <w:rPr>
          <w:rFonts w:ascii="Times New Roman" w:hAnsi="Times New Roman" w:cs="Times New Roman" w:eastAsiaTheme="majorEastAsia"/>
          <w:color w:val="auto"/>
          <w:sz w:val="28"/>
          <w:szCs w:val="28"/>
        </w:rPr>
        <w:t>按照《中共中央关于制定国民经济和社会发展第十三个五年规划的建议》统一部署，根据《中华人民共和国海洋环境保护法》、《广西壮族自治区海洋环境保护条例》、《全国生态建设和保护规划（2013~ 2030年）》的要求，落实自治区《关于深化北部湾经济区改革若干问题的决定》（2014年）精神，对《防城港市海洋环境保护规划（2010~2020）》进行修编，形成了《防城港市海洋环境保护规划（2016~2025）》（以下简称《规划》）。《规划》应对我国海洋环境保护工作的新形势和新要求，根据我市社会经济发展的综合需求，结合不同海域的现状、功能定位及存在的问题，设定防城港市海洋生态环境保护总体目标和重点工作，并与海洋功能区划及相关社会经济规划紧密衔接。《规划》旨在规范我市海洋资源开发利用活动，实施严格的海洋环境保护，促进我市边海经济带建设，构建清洁、美丽、富裕海洋。《规划》范围为防城港市管辖海域及沿海流域区域，规划基准年为2015年，规划期为2016-2025年。</w:t>
      </w:r>
      <w:r>
        <w:rPr>
          <w:rFonts w:ascii="Times New Roman" w:hAnsi="Times New Roman" w:cs="Times New Roman" w:eastAsiaTheme="majorEastAsia"/>
          <w:color w:val="auto"/>
          <w:sz w:val="44"/>
        </w:rPr>
        <w:br w:type="page"/>
      </w:r>
    </w:p>
    <w:p>
      <w:pPr>
        <w:pStyle w:val="2"/>
        <w:tabs>
          <w:tab w:val="clear" w:pos="750"/>
        </w:tabs>
        <w:spacing w:before="320" w:after="320" w:line="360" w:lineRule="auto"/>
        <w:jc w:val="center"/>
        <w:rPr>
          <w:rFonts w:ascii="Times New Roman" w:hAnsi="Times New Roman" w:eastAsiaTheme="majorEastAsia"/>
          <w:color w:val="auto"/>
          <w:sz w:val="44"/>
        </w:rPr>
      </w:pPr>
      <w:bookmarkStart w:id="6" w:name="_Toc441676957"/>
      <w:r>
        <w:rPr>
          <w:rFonts w:ascii="Times New Roman" w:hAnsi="Times New Roman" w:eastAsiaTheme="majorEastAsia"/>
          <w:color w:val="auto"/>
          <w:sz w:val="44"/>
        </w:rPr>
        <w:t>第一章 海洋环境保护的形势与需求</w:t>
      </w:r>
      <w:bookmarkEnd w:id="6"/>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7" w:name="_Toc441676958"/>
      <w:r>
        <w:rPr>
          <w:rFonts w:ascii="Times New Roman" w:hAnsi="Times New Roman" w:eastAsiaTheme="majorEastAsia"/>
          <w:bCs/>
          <w:color w:val="auto"/>
          <w:sz w:val="32"/>
          <w:szCs w:val="32"/>
        </w:rPr>
        <w:t>（一）海洋自然资源与开发利用</w:t>
      </w:r>
      <w:bookmarkEnd w:id="7"/>
    </w:p>
    <w:p>
      <w:pPr>
        <w:pStyle w:val="59"/>
        <w:spacing w:before="0" w:after="0" w:line="240" w:lineRule="auto"/>
        <w:ind w:firstLineChars="0"/>
        <w:rPr>
          <w:rFonts w:eastAsiaTheme="majorEastAsia"/>
          <w:color w:val="auto"/>
        </w:rPr>
      </w:pPr>
      <w:r>
        <w:rPr>
          <w:rFonts w:eastAsiaTheme="majorEastAsia"/>
          <w:color w:val="auto"/>
        </w:rPr>
        <w:t>1. 自然条件优越，海洋资源丰富</w:t>
      </w:r>
    </w:p>
    <w:p>
      <w:pPr>
        <w:adjustRightInd w:val="0"/>
        <w:spacing w:line="600" w:lineRule="exact"/>
        <w:ind w:firstLine="561"/>
        <w:textAlignment w:val="baseline"/>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防城港市地处北回归线以南，属南亚热带湿热季风气候区，日照充足，雨量充沛，年平均气温在22℃左右，冬无严寒夏无酷暑，水热等自然条件十分优越，拥有丰富的海洋资源，为社会经济可持续发展提供了根本保障。</w:t>
      </w:r>
    </w:p>
    <w:p>
      <w:pPr>
        <w:adjustRightInd w:val="0"/>
        <w:spacing w:line="600" w:lineRule="exact"/>
        <w:ind w:firstLine="561"/>
        <w:textAlignment w:val="baseline"/>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滩涂资源：</w:t>
      </w:r>
      <w:r>
        <w:rPr>
          <w:rFonts w:ascii="Times New Roman" w:hAnsi="Times New Roman" w:cs="Times New Roman" w:eastAsiaTheme="majorEastAsia"/>
          <w:color w:val="auto"/>
          <w:sz w:val="28"/>
          <w:szCs w:val="28"/>
        </w:rPr>
        <w:t>滩涂和浅海水域广阔，滩涂面积约287平方千米，0~15米等深线间的浅海水域1507平方千米，15~20米等深线间的浅海水域419平方千米。可利用开发养殖的浅海和滩涂面积约500平方千米。</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海洋生物资源：</w:t>
      </w:r>
      <w:r>
        <w:rPr>
          <w:rFonts w:ascii="Times New Roman" w:hAnsi="Times New Roman" w:cs="Times New Roman" w:eastAsiaTheme="majorEastAsia"/>
          <w:color w:val="auto"/>
          <w:sz w:val="28"/>
          <w:szCs w:val="28"/>
        </w:rPr>
        <w:t>近岸海域海洋生物资源丰富。浮游植物近100种，浮游动物50余种，海洋鱼类300多种，虾蟹类200多种，贝类200多种，头足类近50种。主要经济动物有二长棘鲷、蓝圆鯵、头鲻、中国花鲈、红鳍笛鲷、黑棘鲷和黄鳍棘鲷等鱼类，长毛对虾、墨吉对虾、日本对虾、宽沟对虾、近缘新对虾、拟穴青蟹、远海梭子蟹等甲壳类，文蛤、青蛤、泥蚶、毛蚶和巴菲蛤等贝类，中国枪乌贼、拟目乌贼和短蛸等头足类，和裸体方格星虫、可口革囊星虫等星虫类，以及海南江蓠、江蓠等经济藻类。典型海洋生态系统有红树林、海草床、盐沼和珊瑚等。</w:t>
      </w:r>
    </w:p>
    <w:p>
      <w:pPr>
        <w:adjustRightInd w:val="0"/>
        <w:spacing w:line="600" w:lineRule="exact"/>
        <w:ind w:firstLine="561"/>
        <w:textAlignment w:val="baseline"/>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海岛资源：</w:t>
      </w:r>
      <w:r>
        <w:rPr>
          <w:rFonts w:ascii="Times New Roman" w:hAnsi="Times New Roman" w:cs="Times New Roman" w:eastAsiaTheme="majorEastAsia"/>
          <w:color w:val="auto"/>
          <w:sz w:val="28"/>
          <w:szCs w:val="28"/>
        </w:rPr>
        <w:t>全市管辖无居民海岛282个、有居民海岛2个，总面积约7.6平方千米。防城港海岛面积小，绝大多数为200平方米～1平方千米的小岛，以近岸大陆岛居多，基本上沿大陆岸线分布，多位于海湾河口的港汊交汇处、顶部和两侧。</w:t>
      </w:r>
    </w:p>
    <w:p>
      <w:pPr>
        <w:ind w:firstLine="644" w:firstLineChars="229"/>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港口岸线资源：</w:t>
      </w:r>
      <w:r>
        <w:rPr>
          <w:rFonts w:ascii="Times New Roman" w:hAnsi="Times New Roman" w:cs="Times New Roman" w:eastAsiaTheme="majorEastAsia"/>
          <w:color w:val="auto"/>
          <w:sz w:val="28"/>
          <w:szCs w:val="28"/>
        </w:rPr>
        <w:t>岸线曲折，港湾众多。大陆海岸线长达5</w:t>
      </w:r>
      <w:r>
        <w:rPr>
          <w:rFonts w:hint="eastAsia" w:ascii="Times New Roman" w:hAnsi="Times New Roman" w:cs="Times New Roman" w:eastAsiaTheme="majorEastAsia"/>
          <w:color w:val="auto"/>
          <w:sz w:val="28"/>
          <w:szCs w:val="28"/>
        </w:rPr>
        <w:t>37</w:t>
      </w:r>
      <w:r>
        <w:rPr>
          <w:rFonts w:ascii="Times New Roman" w:hAnsi="Times New Roman" w:cs="Times New Roman" w:eastAsiaTheme="majorEastAsia"/>
          <w:color w:val="auto"/>
          <w:sz w:val="28"/>
          <w:szCs w:val="28"/>
        </w:rPr>
        <w:t>.</w:t>
      </w:r>
      <w:r>
        <w:rPr>
          <w:rFonts w:hint="eastAsia" w:ascii="Times New Roman" w:hAnsi="Times New Roman" w:cs="Times New Roman" w:eastAsiaTheme="majorEastAsia"/>
          <w:color w:val="auto"/>
          <w:sz w:val="28"/>
          <w:szCs w:val="28"/>
        </w:rPr>
        <w:t>7</w:t>
      </w:r>
      <w:r>
        <w:rPr>
          <w:rFonts w:ascii="Times New Roman" w:hAnsi="Times New Roman" w:cs="Times New Roman" w:eastAsiaTheme="majorEastAsia"/>
          <w:color w:val="auto"/>
          <w:sz w:val="28"/>
          <w:szCs w:val="28"/>
        </w:rPr>
        <w:t>9千米，海岛岸线长15</w:t>
      </w:r>
      <w:r>
        <w:rPr>
          <w:rFonts w:hint="eastAsia" w:ascii="Times New Roman" w:hAnsi="Times New Roman" w:cs="Times New Roman" w:eastAsiaTheme="majorEastAsia"/>
          <w:color w:val="auto"/>
          <w:sz w:val="28"/>
          <w:szCs w:val="28"/>
        </w:rPr>
        <w:t>4</w:t>
      </w:r>
      <w:r>
        <w:rPr>
          <w:rFonts w:ascii="Times New Roman" w:hAnsi="Times New Roman" w:cs="Times New Roman" w:eastAsiaTheme="majorEastAsia"/>
          <w:color w:val="auto"/>
          <w:sz w:val="28"/>
          <w:szCs w:val="28"/>
        </w:rPr>
        <w:t>.</w:t>
      </w:r>
      <w:r>
        <w:rPr>
          <w:rFonts w:hint="eastAsia" w:ascii="Times New Roman" w:hAnsi="Times New Roman" w:cs="Times New Roman" w:eastAsiaTheme="majorEastAsia"/>
          <w:color w:val="auto"/>
          <w:sz w:val="28"/>
          <w:szCs w:val="28"/>
        </w:rPr>
        <w:t>62</w:t>
      </w:r>
      <w:r>
        <w:rPr>
          <w:rFonts w:ascii="Times New Roman" w:hAnsi="Times New Roman" w:cs="Times New Roman" w:eastAsiaTheme="majorEastAsia"/>
          <w:color w:val="auto"/>
          <w:sz w:val="28"/>
          <w:szCs w:val="28"/>
        </w:rPr>
        <w:t>千米，宜港岸线绵长。全市已开发的</w:t>
      </w:r>
      <w:r>
        <w:rPr>
          <w:rFonts w:hint="eastAsia" w:ascii="Times New Roman" w:hAnsi="Times New Roman" w:cs="Times New Roman" w:eastAsiaTheme="majorEastAsia"/>
          <w:color w:val="auto"/>
          <w:sz w:val="28"/>
          <w:szCs w:val="28"/>
        </w:rPr>
        <w:t>港口岸段共</w:t>
      </w:r>
      <w:r>
        <w:rPr>
          <w:rFonts w:ascii="Times New Roman" w:hAnsi="Times New Roman" w:cs="Times New Roman" w:eastAsiaTheme="majorEastAsia"/>
          <w:color w:val="auto"/>
          <w:sz w:val="28"/>
          <w:szCs w:val="28"/>
        </w:rPr>
        <w:t>8个，</w:t>
      </w:r>
      <w:r>
        <w:rPr>
          <w:rFonts w:hint="eastAsia" w:ascii="Times New Roman" w:hAnsi="Times New Roman" w:cs="Times New Roman" w:eastAsiaTheme="majorEastAsia"/>
          <w:color w:val="auto"/>
          <w:sz w:val="28"/>
          <w:szCs w:val="28"/>
        </w:rPr>
        <w:t>包括白龙岸线、马鞍岭岸线、渔澫半岛南部岸线、榕木江岸线及风流岭江岸线、企沙半岛西岸线、企沙半岛南岸线、大小冬瓜岸线、茅岭岸线。防城港具有水域宽阔、纳潮量大、水深浪小、掩护条件好、港池航道淤积少等良好的天然水域条件和广阔的陆域，开发潜力巨大，目前已发展成为我国沿海26个主要港口之一和西南沿海第一大港</w:t>
      </w:r>
      <w:r>
        <w:rPr>
          <w:rFonts w:ascii="Times New Roman" w:hAnsi="Times New Roman" w:cs="Times New Roman" w:eastAsiaTheme="majorEastAsia"/>
          <w:color w:val="auto"/>
          <w:sz w:val="28"/>
          <w:szCs w:val="28"/>
        </w:rPr>
        <w:t>。</w:t>
      </w:r>
    </w:p>
    <w:p>
      <w:pPr>
        <w:ind w:firstLine="644" w:firstLineChars="229"/>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滨海旅游资源：</w:t>
      </w:r>
      <w:r>
        <w:rPr>
          <w:rFonts w:ascii="Times New Roman" w:hAnsi="Times New Roman" w:cs="Times New Roman" w:eastAsiaTheme="majorEastAsia"/>
          <w:color w:val="auto"/>
          <w:sz w:val="28"/>
          <w:szCs w:val="28"/>
        </w:rPr>
        <w:t>“边、海、山、民”等旅游资源丰富，人文景观荟萃。拥有东兴边城风情、北仑河口国家级自然保护区、十万大山国家级自然保护区、江山半岛旅游度假区、防城金花茶国家级自然保护区、京岛风景名胜区、竹山景区、中越界河（北仑河）风光、中越友谊公园等重点旅游资源。旅游资源类型涵盖了全国8个主类的全部类型，30种亚类资源，占全部31种亚类的96.8%，128种基本类型，占全部155种基本类型的82.6%，资源丰度高，在全国、全区属于旅游资源相对丰沛城市。</w:t>
      </w:r>
    </w:p>
    <w:p>
      <w:pPr>
        <w:pStyle w:val="59"/>
        <w:spacing w:before="0" w:after="0" w:line="240" w:lineRule="auto"/>
        <w:ind w:firstLineChars="0"/>
        <w:rPr>
          <w:rFonts w:eastAsiaTheme="majorEastAsia"/>
          <w:color w:val="auto"/>
        </w:rPr>
      </w:pPr>
      <w:r>
        <w:rPr>
          <w:rFonts w:eastAsiaTheme="majorEastAsia"/>
          <w:color w:val="auto"/>
        </w:rPr>
        <w:t>2. 区域经济稳步增长，海洋产业发展快速</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近年来防城港市经济实现平稳较快增长，2015年实现地区生产总值620.72亿元，增长10.2%，增速全区领先，人均GDP突破1万美元大关。2015年海洋产业总产值达278亿元，比2010年增长193.5亿元，占全市生产总值的44.8%，海洋经济成为重要增长点。</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临海工业：</w:t>
      </w:r>
      <w:r>
        <w:rPr>
          <w:rFonts w:ascii="Times New Roman" w:hAnsi="Times New Roman" w:cs="Times New Roman" w:eastAsiaTheme="majorEastAsia"/>
          <w:color w:val="auto"/>
          <w:sz w:val="28"/>
          <w:szCs w:val="28"/>
        </w:rPr>
        <w:t>2015年，防城港市工业总产值达到1341.97亿元，增长16.3%；实现工业增加值310.52亿元，增长13.8%。产值、增加值增速均排全区第二位。</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 xml:space="preserve">港口产业： </w:t>
      </w:r>
      <w:r>
        <w:rPr>
          <w:rFonts w:ascii="Times New Roman" w:hAnsi="Times New Roman" w:cs="Times New Roman" w:eastAsiaTheme="majorEastAsia"/>
          <w:color w:val="auto"/>
          <w:sz w:val="28"/>
          <w:szCs w:val="28"/>
        </w:rPr>
        <w:t>2015年，防城港市港口货物吞吐量11504万吨，同比增长0.03%。全年集装箱吞吐量完成36.86万标箱，同比增长14.5%。目前已建成万吨以上泊位36个，与100多个国家和地区的250多个港口通商通航，成为我国沿海12个主枢纽港之一。</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海洋渔业：</w:t>
      </w:r>
      <w:r>
        <w:rPr>
          <w:rFonts w:ascii="Times New Roman" w:hAnsi="Times New Roman" w:cs="Times New Roman" w:eastAsiaTheme="majorEastAsia"/>
          <w:color w:val="auto"/>
          <w:sz w:val="28"/>
          <w:szCs w:val="28"/>
        </w:rPr>
        <w:t>2015年，防城港市海洋捕捞渔船总数和总功率持续保持稳定，海洋捕捞产量为12.54万吨，增长0.1%；海水产品产量43.77万吨，增长3.6%，其中养殖水产品产量31.23万吨，捕捞水产品产量12.54万吨。东兴京岛海洋渔业（核心）示范区、港口区现代特色渔业（核心）示范区等2个示范区于2015年被认定为第一批市级现代特色农业（核心）示范区。</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滨海旅游业：</w:t>
      </w:r>
      <w:r>
        <w:rPr>
          <w:rFonts w:ascii="Times New Roman" w:hAnsi="Times New Roman" w:cs="Times New Roman" w:eastAsiaTheme="majorEastAsia"/>
          <w:color w:val="auto"/>
          <w:sz w:val="28"/>
          <w:szCs w:val="28"/>
        </w:rPr>
        <w:t>2015年，防城港市已建和在建的景区景点达60多个，其中国家级自然保护区3个，A级景区12个，“上山下海又出国”的旅游格局基本形成。全年接待国内外游客突破1000万人次大关，达1361.86万人次，同比增长15%；实现国内旅游收入100.64亿元，同比增长26.2%。接待入境旅游者16.09万人次，同比增长4.67%；实现外汇收入5284.87万美元，同比增长7.7%。</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8" w:name="_Toc441676959"/>
      <w:r>
        <w:rPr>
          <w:rFonts w:ascii="Times New Roman" w:hAnsi="Times New Roman" w:eastAsiaTheme="majorEastAsia"/>
          <w:bCs/>
          <w:color w:val="auto"/>
          <w:sz w:val="32"/>
          <w:szCs w:val="32"/>
        </w:rPr>
        <w:t>（二）</w:t>
      </w:r>
      <w:bookmarkStart w:id="9" w:name="OLE_LINK34"/>
      <w:bookmarkStart w:id="10" w:name="OLE_LINK33"/>
      <w:bookmarkStart w:id="11" w:name="OLE_LINK32"/>
      <w:r>
        <w:rPr>
          <w:rFonts w:ascii="Times New Roman" w:hAnsi="Times New Roman" w:eastAsiaTheme="majorEastAsia"/>
          <w:bCs/>
          <w:color w:val="auto"/>
          <w:sz w:val="32"/>
          <w:szCs w:val="32"/>
        </w:rPr>
        <w:t>海洋环境质量状况</w:t>
      </w:r>
      <w:bookmarkEnd w:id="8"/>
      <w:bookmarkEnd w:id="9"/>
      <w:bookmarkEnd w:id="10"/>
      <w:bookmarkEnd w:id="11"/>
      <w:r>
        <w:rPr>
          <w:rStyle w:val="38"/>
          <w:rFonts w:ascii="Times New Roman" w:hAnsi="Times New Roman" w:eastAsiaTheme="majorEastAsia"/>
          <w:bCs/>
          <w:color w:val="auto"/>
          <w:sz w:val="32"/>
          <w:szCs w:val="32"/>
        </w:rPr>
        <w:footnoteReference w:id="0"/>
      </w:r>
    </w:p>
    <w:p>
      <w:pPr>
        <w:pStyle w:val="59"/>
        <w:spacing w:before="0" w:after="0" w:line="240" w:lineRule="auto"/>
        <w:ind w:firstLineChars="0"/>
        <w:rPr>
          <w:rFonts w:eastAsiaTheme="majorEastAsia"/>
          <w:color w:val="auto"/>
        </w:rPr>
      </w:pPr>
      <w:r>
        <w:rPr>
          <w:rFonts w:eastAsiaTheme="majorEastAsia"/>
          <w:color w:val="auto"/>
        </w:rPr>
        <w:t>1. 近岸海域环境状况</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2011年至2015年防城港市近岸海域海水环境状况总体较好，基本符合海洋功能区划和海洋环境功能区划要求；符合一、二类海水水质标准的海域面积变化幅度较小；但未达到清洁水质标准的水域面积有上升趋势。2015年防城港市</w:t>
      </w:r>
      <w:r>
        <w:rPr>
          <w:rFonts w:ascii="Times New Roman" w:cs="Times New Roman"/>
          <w:bCs/>
          <w:color w:val="auto"/>
          <w:sz w:val="28"/>
        </w:rPr>
        <w:t>冬季、春季、夏季和秋季</w:t>
      </w:r>
      <w:r>
        <w:rPr>
          <w:rFonts w:ascii="Times New Roman" w:hAnsi="Times New Roman" w:cs="Times New Roman" w:eastAsiaTheme="majorEastAsia"/>
          <w:color w:val="auto"/>
          <w:sz w:val="28"/>
          <w:szCs w:val="28"/>
        </w:rPr>
        <w:t>符合一、二类海水水质标准的海域面积分别占近岸海域总面积的</w:t>
      </w:r>
      <w:r>
        <w:rPr>
          <w:rFonts w:ascii="Times New Roman" w:hAnsi="Times New Roman" w:cs="Times New Roman" w:eastAsiaTheme="majorEastAsia"/>
          <w:bCs/>
          <w:color w:val="auto"/>
          <w:sz w:val="28"/>
          <w:szCs w:val="28"/>
        </w:rPr>
        <w:t>83.5%、83.1%、62.3%和95.0%</w:t>
      </w:r>
      <w:r>
        <w:rPr>
          <w:rFonts w:ascii="Times New Roman" w:hAnsi="Times New Roman" w:cs="Times New Roman" w:eastAsiaTheme="majorEastAsia"/>
          <w:color w:val="auto"/>
          <w:sz w:val="28"/>
          <w:szCs w:val="28"/>
        </w:rPr>
        <w:t>。</w:t>
      </w:r>
    </w:p>
    <w:p>
      <w:pPr>
        <w:spacing w:line="240" w:lineRule="auto"/>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局部河口海湾及工程密集海域的海水污染依然严重，集中出现在</w:t>
      </w:r>
      <w:r>
        <w:rPr>
          <w:rFonts w:ascii="Times New Roman" w:cs="Times New Roman"/>
          <w:bCs/>
          <w:color w:val="auto"/>
          <w:sz w:val="28"/>
        </w:rPr>
        <w:t>红沙东南部、东湾北部及北仑河口局部海域</w:t>
      </w:r>
      <w:r>
        <w:rPr>
          <w:rFonts w:ascii="Times New Roman" w:hAnsi="Times New Roman" w:cs="Times New Roman" w:eastAsiaTheme="majorEastAsia"/>
          <w:color w:val="auto"/>
          <w:sz w:val="28"/>
          <w:szCs w:val="28"/>
        </w:rPr>
        <w:t>，主要污染因子为无机氮、活性磷酸盐和石油类。</w:t>
      </w:r>
    </w:p>
    <w:p>
      <w:pPr>
        <w:spacing w:line="240" w:lineRule="auto"/>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2010年至2015年，防城港市近岸海域沉积物质量状况总体保持良好。除部分监测站位的个别指标符合第二类海洋沉积物质量标准，其余站位均符合一类海洋沉积物质量标准。</w:t>
      </w:r>
    </w:p>
    <w:p>
      <w:pPr>
        <w:pStyle w:val="59"/>
        <w:spacing w:before="0" w:after="0" w:line="240" w:lineRule="auto"/>
        <w:ind w:firstLineChars="0"/>
        <w:rPr>
          <w:rFonts w:eastAsiaTheme="majorEastAsia"/>
          <w:color w:val="auto"/>
        </w:rPr>
      </w:pPr>
      <w:r>
        <w:rPr>
          <w:rFonts w:eastAsiaTheme="majorEastAsia"/>
          <w:color w:val="auto"/>
        </w:rPr>
        <w:t>2. 陆源污染排海状况</w:t>
      </w:r>
    </w:p>
    <w:p>
      <w:pPr>
        <w:spacing w:line="240" w:lineRule="auto"/>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防城港市大力改造城市污水管网工程效果逐年显现。由防城江携带入海的污染物总量呈显著下降趋势，其中</w:t>
      </w:r>
      <w:r>
        <w:rPr>
          <w:rFonts w:ascii="Times New Roman" w:hAnsi="Times New Roman" w:cs="Times New Roman" w:eastAsiaTheme="majorEastAsia"/>
          <w:bCs/>
          <w:color w:val="auto"/>
          <w:kern w:val="0"/>
        </w:rPr>
        <w:t>CODcr</w:t>
      </w:r>
      <w:r>
        <w:rPr>
          <w:rFonts w:ascii="Times New Roman" w:hAnsi="Times New Roman" w:cs="Times New Roman" w:eastAsiaTheme="majorEastAsia"/>
          <w:color w:val="auto"/>
          <w:sz w:val="28"/>
          <w:szCs w:val="28"/>
        </w:rPr>
        <w:t>的下降最明显（见表1）。2015年与2010年相比，</w:t>
      </w:r>
      <w:r>
        <w:rPr>
          <w:rFonts w:ascii="Times New Roman" w:hAnsi="Times New Roman" w:cs="Times New Roman" w:eastAsiaTheme="majorEastAsia"/>
          <w:bCs/>
          <w:color w:val="auto"/>
          <w:kern w:val="0"/>
        </w:rPr>
        <w:t>CODcr</w:t>
      </w:r>
      <w:r>
        <w:rPr>
          <w:rFonts w:ascii="Times New Roman" w:hAnsi="Times New Roman" w:cs="Times New Roman" w:eastAsiaTheme="majorEastAsia"/>
          <w:color w:val="auto"/>
          <w:sz w:val="28"/>
          <w:szCs w:val="28"/>
        </w:rPr>
        <w:t>下降了79.08%，砷含量下降了77.14%，其他污染物含量总体呈波动下降的趋势。</w:t>
      </w:r>
    </w:p>
    <w:p>
      <w:pPr>
        <w:spacing w:line="276" w:lineRule="auto"/>
        <w:jc w:val="center"/>
        <w:rPr>
          <w:rFonts w:ascii="Times New Roman" w:hAnsi="Times New Roman" w:cs="Times New Roman" w:eastAsiaTheme="majorEastAsia"/>
          <w:b/>
          <w:bCs/>
          <w:color w:val="auto"/>
        </w:rPr>
      </w:pPr>
    </w:p>
    <w:p>
      <w:pPr>
        <w:spacing w:line="276" w:lineRule="auto"/>
        <w:jc w:val="center"/>
        <w:rPr>
          <w:rFonts w:ascii="Times New Roman" w:hAnsi="Times New Roman" w:cs="Times New Roman" w:eastAsiaTheme="majorEastAsia"/>
          <w:b/>
          <w:bCs/>
          <w:color w:val="auto"/>
        </w:rPr>
      </w:pPr>
    </w:p>
    <w:p>
      <w:pPr>
        <w:spacing w:line="276" w:lineRule="auto"/>
        <w:jc w:val="center"/>
        <w:rPr>
          <w:rFonts w:ascii="Times New Roman" w:hAnsi="Times New Roman" w:cs="Times New Roman" w:eastAsiaTheme="majorEastAsia"/>
          <w:b/>
          <w:color w:val="auto"/>
        </w:rPr>
      </w:pPr>
      <w:r>
        <w:rPr>
          <w:rFonts w:ascii="Times New Roman" w:hAnsi="Times New Roman" w:cs="Times New Roman" w:eastAsiaTheme="majorEastAsia"/>
          <w:b/>
          <w:bCs/>
          <w:color w:val="auto"/>
        </w:rPr>
        <w:t>表1  2010~2015</w:t>
      </w:r>
      <w:r>
        <w:rPr>
          <w:rFonts w:ascii="Times New Roman" w:hAnsi="Times New Roman" w:cs="Times New Roman" w:eastAsiaTheme="majorEastAsia"/>
          <w:b/>
          <w:color w:val="auto"/>
        </w:rPr>
        <w:t>年</w:t>
      </w:r>
      <w:r>
        <w:rPr>
          <w:rFonts w:ascii="Times New Roman" w:hAnsi="Times New Roman" w:cs="Times New Roman" w:eastAsiaTheme="majorEastAsia"/>
          <w:b/>
          <w:bCs/>
          <w:color w:val="auto"/>
        </w:rPr>
        <w:t>防城江排放入海的污染量</w:t>
      </w:r>
      <w:r>
        <w:rPr>
          <w:rFonts w:ascii="Times New Roman" w:hAnsi="Times New Roman" w:cs="Times New Roman" w:eastAsiaTheme="majorEastAsia"/>
          <w:b/>
          <w:color w:val="auto"/>
        </w:rPr>
        <w:t>（</w:t>
      </w:r>
      <w:r>
        <w:rPr>
          <w:rFonts w:ascii="Times New Roman" w:hAnsi="Times New Roman" w:cs="Times New Roman" w:eastAsiaTheme="majorEastAsia"/>
          <w:b/>
          <w:bCs/>
          <w:color w:val="auto"/>
        </w:rPr>
        <w:t>吨</w:t>
      </w:r>
      <w:r>
        <w:rPr>
          <w:rFonts w:ascii="Times New Roman" w:hAnsi="Times New Roman" w:cs="Times New Roman" w:eastAsiaTheme="majorEastAsia"/>
          <w:b/>
          <w:color w:val="auto"/>
        </w:rPr>
        <w:t>）</w:t>
      </w:r>
    </w:p>
    <w:tbl>
      <w:tblPr>
        <w:tblStyle w:val="40"/>
        <w:tblW w:w="9498"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7"/>
        <w:gridCol w:w="1131"/>
        <w:gridCol w:w="996"/>
        <w:gridCol w:w="996"/>
        <w:gridCol w:w="860"/>
        <w:gridCol w:w="876"/>
        <w:gridCol w:w="967"/>
        <w:gridCol w:w="992"/>
        <w:gridCol w:w="709"/>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年度</w:t>
            </w:r>
          </w:p>
        </w:tc>
        <w:tc>
          <w:tcPr>
            <w:tcW w:w="1131"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CODcr</w:t>
            </w:r>
          </w:p>
        </w:tc>
        <w:tc>
          <w:tcPr>
            <w:tcW w:w="996"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氨氮</w:t>
            </w:r>
          </w:p>
        </w:tc>
        <w:tc>
          <w:tcPr>
            <w:tcW w:w="996"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硝酸盐</w:t>
            </w:r>
          </w:p>
        </w:tc>
        <w:tc>
          <w:tcPr>
            <w:tcW w:w="860" w:type="dxa"/>
            <w:vAlign w:val="center"/>
          </w:tcPr>
          <w:p>
            <w:pPr>
              <w:spacing w:before="100" w:beforeAutospacing="1" w:after="100" w:afterAutospacing="1" w:line="240" w:lineRule="auto"/>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亚硝酸盐</w:t>
            </w:r>
          </w:p>
        </w:tc>
        <w:tc>
          <w:tcPr>
            <w:tcW w:w="876"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总磷</w:t>
            </w:r>
          </w:p>
        </w:tc>
        <w:tc>
          <w:tcPr>
            <w:tcW w:w="967"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石油类</w:t>
            </w:r>
          </w:p>
        </w:tc>
        <w:tc>
          <w:tcPr>
            <w:tcW w:w="992"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重金属</w:t>
            </w:r>
          </w:p>
        </w:tc>
        <w:tc>
          <w:tcPr>
            <w:tcW w:w="709"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砷</w:t>
            </w:r>
          </w:p>
        </w:tc>
        <w:tc>
          <w:tcPr>
            <w:tcW w:w="1134" w:type="dxa"/>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2010</w:t>
            </w:r>
          </w:p>
        </w:tc>
        <w:tc>
          <w:tcPr>
            <w:tcW w:w="1131"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91677.05</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478.88</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860"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87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208.05</w:t>
            </w:r>
          </w:p>
        </w:tc>
        <w:tc>
          <w:tcPr>
            <w:tcW w:w="96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95.63</w:t>
            </w:r>
          </w:p>
        </w:tc>
        <w:tc>
          <w:tcPr>
            <w:tcW w:w="99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51.00</w:t>
            </w:r>
          </w:p>
        </w:tc>
        <w:tc>
          <w:tcPr>
            <w:tcW w:w="709"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3.50</w:t>
            </w:r>
          </w:p>
        </w:tc>
        <w:tc>
          <w:tcPr>
            <w:tcW w:w="1134"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92517.7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2011</w:t>
            </w:r>
          </w:p>
        </w:tc>
        <w:tc>
          <w:tcPr>
            <w:tcW w:w="1131"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79897.73</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1752.66</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2041.01</w:t>
            </w:r>
          </w:p>
        </w:tc>
        <w:tc>
          <w:tcPr>
            <w:tcW w:w="860"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88.29</w:t>
            </w:r>
          </w:p>
        </w:tc>
        <w:tc>
          <w:tcPr>
            <w:tcW w:w="87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949.11</w:t>
            </w:r>
          </w:p>
        </w:tc>
        <w:tc>
          <w:tcPr>
            <w:tcW w:w="96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148.66</w:t>
            </w:r>
          </w:p>
        </w:tc>
        <w:tc>
          <w:tcPr>
            <w:tcW w:w="99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83.18</w:t>
            </w:r>
          </w:p>
        </w:tc>
        <w:tc>
          <w:tcPr>
            <w:tcW w:w="709"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3.19</w:t>
            </w:r>
          </w:p>
        </w:tc>
        <w:tc>
          <w:tcPr>
            <w:tcW w:w="1134"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84963.83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2012</w:t>
            </w:r>
          </w:p>
        </w:tc>
        <w:tc>
          <w:tcPr>
            <w:tcW w:w="1131"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41183.62</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155.74</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110.88</w:t>
            </w:r>
          </w:p>
        </w:tc>
        <w:tc>
          <w:tcPr>
            <w:tcW w:w="860"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3.23</w:t>
            </w:r>
          </w:p>
        </w:tc>
        <w:tc>
          <w:tcPr>
            <w:tcW w:w="87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27.18</w:t>
            </w:r>
          </w:p>
        </w:tc>
        <w:tc>
          <w:tcPr>
            <w:tcW w:w="96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54.05</w:t>
            </w:r>
          </w:p>
        </w:tc>
        <w:tc>
          <w:tcPr>
            <w:tcW w:w="99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7.56</w:t>
            </w:r>
          </w:p>
        </w:tc>
        <w:tc>
          <w:tcPr>
            <w:tcW w:w="709"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0.27</w:t>
            </w:r>
          </w:p>
        </w:tc>
        <w:tc>
          <w:tcPr>
            <w:tcW w:w="1134"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41542.53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2013</w:t>
            </w:r>
          </w:p>
        </w:tc>
        <w:tc>
          <w:tcPr>
            <w:tcW w:w="1131"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37112.77</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845.64</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1180.83</w:t>
            </w:r>
          </w:p>
        </w:tc>
        <w:tc>
          <w:tcPr>
            <w:tcW w:w="860"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15.72</w:t>
            </w:r>
          </w:p>
        </w:tc>
        <w:tc>
          <w:tcPr>
            <w:tcW w:w="87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352.48</w:t>
            </w:r>
          </w:p>
        </w:tc>
        <w:tc>
          <w:tcPr>
            <w:tcW w:w="96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111.37</w:t>
            </w:r>
          </w:p>
        </w:tc>
        <w:tc>
          <w:tcPr>
            <w:tcW w:w="99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52.81</w:t>
            </w:r>
          </w:p>
        </w:tc>
        <w:tc>
          <w:tcPr>
            <w:tcW w:w="709"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0.15</w:t>
            </w:r>
          </w:p>
        </w:tc>
        <w:tc>
          <w:tcPr>
            <w:tcW w:w="1134"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39671.77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2014</w:t>
            </w:r>
          </w:p>
        </w:tc>
        <w:tc>
          <w:tcPr>
            <w:tcW w:w="1131"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24377</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650</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466</w:t>
            </w:r>
          </w:p>
        </w:tc>
        <w:tc>
          <w:tcPr>
            <w:tcW w:w="860"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12</w:t>
            </w:r>
          </w:p>
        </w:tc>
        <w:tc>
          <w:tcPr>
            <w:tcW w:w="87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118</w:t>
            </w:r>
          </w:p>
        </w:tc>
        <w:tc>
          <w:tcPr>
            <w:tcW w:w="96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64</w:t>
            </w:r>
          </w:p>
        </w:tc>
        <w:tc>
          <w:tcPr>
            <w:tcW w:w="99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34</w:t>
            </w:r>
          </w:p>
        </w:tc>
        <w:tc>
          <w:tcPr>
            <w:tcW w:w="709"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0.70</w:t>
            </w:r>
          </w:p>
        </w:tc>
        <w:tc>
          <w:tcPr>
            <w:tcW w:w="1134"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25722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3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2015</w:t>
            </w:r>
          </w:p>
        </w:tc>
        <w:tc>
          <w:tcPr>
            <w:tcW w:w="1131"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19180.04</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699.62</w:t>
            </w:r>
          </w:p>
        </w:tc>
        <w:tc>
          <w:tcPr>
            <w:tcW w:w="99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662.77</w:t>
            </w:r>
          </w:p>
        </w:tc>
        <w:tc>
          <w:tcPr>
            <w:tcW w:w="860"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16.21</w:t>
            </w:r>
          </w:p>
        </w:tc>
        <w:tc>
          <w:tcPr>
            <w:tcW w:w="876"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133.43</w:t>
            </w:r>
          </w:p>
        </w:tc>
        <w:tc>
          <w:tcPr>
            <w:tcW w:w="967"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79.82</w:t>
            </w:r>
          </w:p>
        </w:tc>
        <w:tc>
          <w:tcPr>
            <w:tcW w:w="99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35.95</w:t>
            </w:r>
          </w:p>
        </w:tc>
        <w:tc>
          <w:tcPr>
            <w:tcW w:w="709"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0.80</w:t>
            </w:r>
          </w:p>
        </w:tc>
        <w:tc>
          <w:tcPr>
            <w:tcW w:w="1134"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20808.60</w:t>
            </w:r>
          </w:p>
        </w:tc>
      </w:tr>
    </w:tbl>
    <w:p>
      <w:pPr>
        <w:spacing w:line="276" w:lineRule="auto"/>
        <w:jc w:val="left"/>
        <w:rPr>
          <w:rFonts w:ascii="Times New Roman" w:hAnsi="Times New Roman" w:cs="Times New Roman" w:eastAsiaTheme="majorEastAsia"/>
          <w:color w:val="auto"/>
          <w:sz w:val="18"/>
          <w:szCs w:val="18"/>
        </w:rPr>
      </w:pPr>
      <w:r>
        <w:rPr>
          <w:rFonts w:ascii="Times New Roman" w:hAnsi="Times New Roman" w:cs="Times New Roman" w:eastAsiaTheme="majorEastAsia"/>
          <w:color w:val="auto"/>
          <w:sz w:val="18"/>
          <w:szCs w:val="18"/>
        </w:rPr>
        <w:t>注：氨氮、硝酸盐、亚硝酸盐浓度以氮计，总磷浓度以磷计。</w:t>
      </w:r>
    </w:p>
    <w:p>
      <w:pPr>
        <w:spacing w:line="276" w:lineRule="auto"/>
        <w:jc w:val="left"/>
        <w:rPr>
          <w:rFonts w:ascii="Times New Roman" w:hAnsi="Times New Roman" w:cs="Times New Roman" w:eastAsiaTheme="majorEastAsia"/>
          <w:b/>
          <w:bCs/>
          <w:color w:val="auto"/>
        </w:rPr>
      </w:pPr>
    </w:p>
    <w:p>
      <w:pPr>
        <w:spacing w:line="240" w:lineRule="auto"/>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2010年至2014年，防城港市污水处理厂排污口、企沙入海排污口和东兴市城东污水处理厂排污口均存在超标排放现象，但近两年趋于好转，主要污染物CODcr、悬浮物、氨氮和总磷的入海总量总体呈下降趋势（见表2）。2015年新增监测了防城港市港口区双拥路西排污口、防城港市港口区北码头排污口和企沙镇云约江路南排污口3个陆源入海排污口，污染物排海总量较上年增加了27%，超标排放次数比例增加了58.35%。</w:t>
      </w:r>
    </w:p>
    <w:p>
      <w:pPr>
        <w:spacing w:line="276" w:lineRule="auto"/>
        <w:jc w:val="center"/>
        <w:rPr>
          <w:rFonts w:ascii="Times New Roman" w:hAnsi="Times New Roman" w:cs="Times New Roman" w:eastAsiaTheme="majorEastAsia"/>
          <w:b/>
          <w:color w:val="auto"/>
        </w:rPr>
      </w:pPr>
      <w:r>
        <w:rPr>
          <w:rFonts w:ascii="Times New Roman" w:hAnsi="Times New Roman" w:cs="Times New Roman" w:eastAsiaTheme="majorEastAsia"/>
          <w:b/>
          <w:bCs/>
          <w:color w:val="auto"/>
        </w:rPr>
        <w:t>表2  2010~2015</w:t>
      </w:r>
      <w:r>
        <w:rPr>
          <w:rFonts w:ascii="Times New Roman" w:hAnsi="Times New Roman" w:cs="Times New Roman" w:eastAsiaTheme="majorEastAsia"/>
          <w:b/>
          <w:color w:val="auto"/>
        </w:rPr>
        <w:t>年防城港市</w:t>
      </w:r>
      <w:r>
        <w:rPr>
          <w:rFonts w:ascii="Times New Roman" w:hAnsi="Times New Roman" w:cs="Times New Roman" w:eastAsiaTheme="majorEastAsia"/>
          <w:b/>
          <w:bCs/>
          <w:color w:val="auto"/>
        </w:rPr>
        <w:t>入海排污口环境质量状况</w:t>
      </w:r>
    </w:p>
    <w:tbl>
      <w:tblPr>
        <w:tblStyle w:val="40"/>
        <w:tblW w:w="814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
        <w:gridCol w:w="2499"/>
        <w:gridCol w:w="996"/>
        <w:gridCol w:w="992"/>
        <w:gridCol w:w="878"/>
        <w:gridCol w:w="903"/>
        <w:gridCol w:w="11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Merge w:val="restart"/>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年度</w:t>
            </w:r>
          </w:p>
        </w:tc>
        <w:tc>
          <w:tcPr>
            <w:tcW w:w="2499" w:type="dxa"/>
            <w:vMerge w:val="restart"/>
            <w:vAlign w:val="center"/>
          </w:tcPr>
          <w:p>
            <w:pPr>
              <w:spacing w:before="100" w:beforeAutospacing="1" w:after="100" w:afterAutospacing="1" w:line="240" w:lineRule="auto"/>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超标排放次数占比（%）</w:t>
            </w:r>
          </w:p>
        </w:tc>
        <w:tc>
          <w:tcPr>
            <w:tcW w:w="4870" w:type="dxa"/>
            <w:gridSpan w:val="5"/>
            <w:vAlign w:val="center"/>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主要超标污染物总量（吨）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Merge w:val="continue"/>
            <w:vAlign w:val="center"/>
          </w:tcPr>
          <w:p>
            <w:pPr>
              <w:spacing w:before="100" w:beforeAutospacing="1" w:after="100" w:afterAutospacing="1"/>
              <w:jc w:val="center"/>
              <w:rPr>
                <w:rFonts w:ascii="Times New Roman" w:hAnsi="Times New Roman" w:cs="Times New Roman" w:eastAsiaTheme="majorEastAsia"/>
                <w:b/>
                <w:bCs/>
                <w:color w:val="auto"/>
                <w:kern w:val="0"/>
              </w:rPr>
            </w:pPr>
          </w:p>
        </w:tc>
        <w:tc>
          <w:tcPr>
            <w:tcW w:w="2499" w:type="dxa"/>
            <w:vMerge w:val="continue"/>
            <w:vAlign w:val="center"/>
          </w:tcPr>
          <w:p>
            <w:pPr>
              <w:spacing w:before="100" w:beforeAutospacing="1" w:after="100" w:afterAutospacing="1"/>
              <w:jc w:val="center"/>
              <w:rPr>
                <w:rFonts w:ascii="Times New Roman" w:hAnsi="Times New Roman" w:cs="Times New Roman" w:eastAsiaTheme="majorEastAsia"/>
                <w:b/>
                <w:bCs/>
                <w:color w:val="auto"/>
                <w:kern w:val="0"/>
              </w:rPr>
            </w:pPr>
          </w:p>
        </w:tc>
        <w:tc>
          <w:tcPr>
            <w:tcW w:w="996" w:type="dxa"/>
            <w:vAlign w:val="center"/>
          </w:tcPr>
          <w:p>
            <w:pPr>
              <w:spacing w:before="100" w:beforeAutospacing="1" w:after="100" w:afterAutospacing="1"/>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CODcr</w:t>
            </w:r>
          </w:p>
        </w:tc>
        <w:tc>
          <w:tcPr>
            <w:tcW w:w="992" w:type="dxa"/>
            <w:vAlign w:val="center"/>
          </w:tcPr>
          <w:p>
            <w:pPr>
              <w:spacing w:before="100" w:beforeAutospacing="1" w:after="100" w:afterAutospacing="1"/>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悬浮物</w:t>
            </w:r>
          </w:p>
        </w:tc>
        <w:tc>
          <w:tcPr>
            <w:tcW w:w="878" w:type="dxa"/>
            <w:vAlign w:val="center"/>
          </w:tcPr>
          <w:p>
            <w:pPr>
              <w:spacing w:before="100" w:beforeAutospacing="1" w:after="100" w:afterAutospacing="1"/>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氨氮</w:t>
            </w:r>
          </w:p>
        </w:tc>
        <w:tc>
          <w:tcPr>
            <w:tcW w:w="903" w:type="dxa"/>
            <w:vAlign w:val="center"/>
          </w:tcPr>
          <w:p>
            <w:pPr>
              <w:spacing w:before="100" w:beforeAutospacing="1" w:after="100" w:afterAutospacing="1"/>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总磷</w:t>
            </w:r>
          </w:p>
        </w:tc>
        <w:tc>
          <w:tcPr>
            <w:tcW w:w="1101" w:type="dxa"/>
            <w:vAlign w:val="center"/>
          </w:tcPr>
          <w:p>
            <w:pPr>
              <w:spacing w:before="100" w:beforeAutospacing="1" w:after="100" w:afterAutospacing="1"/>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2010</w:t>
            </w:r>
          </w:p>
        </w:tc>
        <w:tc>
          <w:tcPr>
            <w:tcW w:w="2499"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100</w:t>
            </w:r>
          </w:p>
        </w:tc>
        <w:tc>
          <w:tcPr>
            <w:tcW w:w="99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2053.92</w:t>
            </w:r>
          </w:p>
        </w:tc>
        <w:tc>
          <w:tcPr>
            <w:tcW w:w="992"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334.13</w:t>
            </w:r>
          </w:p>
        </w:tc>
        <w:tc>
          <w:tcPr>
            <w:tcW w:w="878"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903"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1101"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3225.71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2011</w:t>
            </w:r>
          </w:p>
        </w:tc>
        <w:tc>
          <w:tcPr>
            <w:tcW w:w="2499"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100</w:t>
            </w:r>
          </w:p>
        </w:tc>
        <w:tc>
          <w:tcPr>
            <w:tcW w:w="99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1722</w:t>
            </w:r>
          </w:p>
        </w:tc>
        <w:tc>
          <w:tcPr>
            <w:tcW w:w="992"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417</w:t>
            </w:r>
          </w:p>
        </w:tc>
        <w:tc>
          <w:tcPr>
            <w:tcW w:w="878"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104</w:t>
            </w:r>
          </w:p>
        </w:tc>
        <w:tc>
          <w:tcPr>
            <w:tcW w:w="903"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15</w:t>
            </w:r>
          </w:p>
        </w:tc>
        <w:tc>
          <w:tcPr>
            <w:tcW w:w="1101"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2012</w:t>
            </w:r>
          </w:p>
        </w:tc>
        <w:tc>
          <w:tcPr>
            <w:tcW w:w="2499"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100</w:t>
            </w:r>
          </w:p>
        </w:tc>
        <w:tc>
          <w:tcPr>
            <w:tcW w:w="99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1554.08</w:t>
            </w:r>
          </w:p>
        </w:tc>
        <w:tc>
          <w:tcPr>
            <w:tcW w:w="992"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509.9</w:t>
            </w:r>
          </w:p>
        </w:tc>
        <w:tc>
          <w:tcPr>
            <w:tcW w:w="878"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125.49</w:t>
            </w:r>
          </w:p>
        </w:tc>
        <w:tc>
          <w:tcPr>
            <w:tcW w:w="903"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31.87</w:t>
            </w:r>
          </w:p>
        </w:tc>
        <w:tc>
          <w:tcPr>
            <w:tcW w:w="1101"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2783.63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2013</w:t>
            </w:r>
          </w:p>
        </w:tc>
        <w:tc>
          <w:tcPr>
            <w:tcW w:w="2499"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93.97</w:t>
            </w:r>
          </w:p>
        </w:tc>
        <w:tc>
          <w:tcPr>
            <w:tcW w:w="99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1263.1</w:t>
            </w:r>
          </w:p>
        </w:tc>
        <w:tc>
          <w:tcPr>
            <w:tcW w:w="992"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286.8</w:t>
            </w:r>
          </w:p>
        </w:tc>
        <w:tc>
          <w:tcPr>
            <w:tcW w:w="878"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62.82</w:t>
            </w:r>
          </w:p>
        </w:tc>
        <w:tc>
          <w:tcPr>
            <w:tcW w:w="903"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11.71</w:t>
            </w:r>
          </w:p>
        </w:tc>
        <w:tc>
          <w:tcPr>
            <w:tcW w:w="1101"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1624.43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2014</w:t>
            </w:r>
          </w:p>
        </w:tc>
        <w:tc>
          <w:tcPr>
            <w:tcW w:w="2499"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38.9</w:t>
            </w:r>
          </w:p>
        </w:tc>
        <w:tc>
          <w:tcPr>
            <w:tcW w:w="99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992"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878"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903"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1101"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828.21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2015</w:t>
            </w:r>
          </w:p>
        </w:tc>
        <w:tc>
          <w:tcPr>
            <w:tcW w:w="2499"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61.1</w:t>
            </w:r>
          </w:p>
        </w:tc>
        <w:tc>
          <w:tcPr>
            <w:tcW w:w="99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872.4</w:t>
            </w:r>
          </w:p>
        </w:tc>
        <w:tc>
          <w:tcPr>
            <w:tcW w:w="992"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18.2</w:t>
            </w:r>
          </w:p>
        </w:tc>
        <w:tc>
          <w:tcPr>
            <w:tcW w:w="878"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19.9</w:t>
            </w:r>
          </w:p>
        </w:tc>
        <w:tc>
          <w:tcPr>
            <w:tcW w:w="903"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145.4</w:t>
            </w:r>
          </w:p>
        </w:tc>
        <w:tc>
          <w:tcPr>
            <w:tcW w:w="1101"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2637.4</w:t>
            </w:r>
          </w:p>
        </w:tc>
      </w:tr>
    </w:tbl>
    <w:p>
      <w:pPr>
        <w:pStyle w:val="59"/>
        <w:spacing w:before="0" w:after="0" w:line="240" w:lineRule="auto"/>
        <w:ind w:firstLineChars="0"/>
        <w:rPr>
          <w:rFonts w:eastAsiaTheme="majorEastAsia"/>
          <w:color w:val="auto"/>
        </w:rPr>
      </w:pPr>
      <w:r>
        <w:rPr>
          <w:rFonts w:eastAsiaTheme="majorEastAsia"/>
          <w:color w:val="auto"/>
        </w:rPr>
        <w:t>3. 重点海湾环境质量状况</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2010年至2014年，北仑河口局部近岸海域受污染严重，但污染程度和富营养化程度有减缓趋势，主要污染物为无机氮和活性磷酸盐；珍珠湾海域水环境质量状况总体保持良好，富营养化程度有所下降；防城湾海域水质从严重污染降至中度污染，但富营养化程度持续严重，主要污染物为活性磷酸盐和无机氮。</w:t>
      </w:r>
    </w:p>
    <w:p>
      <w:pPr>
        <w:pStyle w:val="59"/>
        <w:spacing w:before="0" w:after="0" w:line="240" w:lineRule="auto"/>
        <w:ind w:firstLineChars="0"/>
        <w:rPr>
          <w:rFonts w:eastAsiaTheme="majorEastAsia"/>
          <w:color w:val="auto"/>
        </w:rPr>
      </w:pPr>
      <w:r>
        <w:rPr>
          <w:rFonts w:eastAsiaTheme="majorEastAsia"/>
          <w:color w:val="auto"/>
        </w:rPr>
        <w:t>4. 重要海洋生态系统及功能区状况</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2010年至2015年，广西北仑河口国家级自然保护区内红树林生态系统总体呈健康状态，红树林群落结构保持不变，整体长势良好，但除2011年以外每年均发生虫害，主要害虫为广州小斑螟和袋蛾类；2015年发生大面积柚木驼蛾虫害。水环境整体良好，局部区域水体营养盐、石油类、锌、铅和汞超标。沉积环境质量较好，符合海洋功能区划要求。防城港金滩海水浴场环境质量保持良好，每年健康指数等级均为优。珍珠湾珍珠养殖区和红沙大蚝养殖区的环境质量基本能满足养殖功能要求。</w:t>
      </w:r>
    </w:p>
    <w:p>
      <w:pPr>
        <w:pStyle w:val="59"/>
        <w:spacing w:before="0" w:after="0" w:line="240" w:lineRule="auto"/>
        <w:ind w:firstLineChars="0"/>
        <w:rPr>
          <w:rFonts w:eastAsiaTheme="majorEastAsia"/>
          <w:color w:val="auto"/>
        </w:rPr>
      </w:pPr>
      <w:r>
        <w:rPr>
          <w:rFonts w:eastAsiaTheme="majorEastAsia"/>
          <w:color w:val="auto"/>
        </w:rPr>
        <w:t>5. 海洋灾害及突发事件发生状况</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2010年至2015年，防城港市近岸海域没有发生赤潮或绿潮灾害，但在局部海域出现6起海洋藻类生物暴发引起的水质异常事件，影响面积较小，没有对环境造成大的影响；发生溢油事故1次，但因及时处置，未对事发海域海洋生态环境造成明显负面影响；沿海发生风暴潮灾害共17次，造成沿岸水产养殖、水利设施严重损失。</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12" w:name="_Toc441676960"/>
      <w:r>
        <w:rPr>
          <w:rFonts w:ascii="Times New Roman" w:hAnsi="Times New Roman" w:eastAsiaTheme="majorEastAsia"/>
          <w:bCs/>
          <w:color w:val="auto"/>
          <w:sz w:val="32"/>
          <w:szCs w:val="32"/>
        </w:rPr>
        <w:t>（三）海洋环境保护和管理工作进展</w:t>
      </w:r>
      <w:bookmarkEnd w:id="12"/>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“十二五”期间，在自治区党委、政府的正确领导下，各涉海相关部门协调配合下，防城港市不断加大海洋生态环境保护力度，海洋环境保护工作取得了积极进展，基本完成了上期规划近期目标（见表3）。</w:t>
      </w:r>
    </w:p>
    <w:p>
      <w:pPr>
        <w:pStyle w:val="59"/>
        <w:numPr>
          <w:ilvl w:val="0"/>
          <w:numId w:val="1"/>
        </w:numPr>
        <w:spacing w:before="0" w:after="0" w:line="240" w:lineRule="auto"/>
        <w:ind w:firstLineChars="0"/>
        <w:rPr>
          <w:rFonts w:eastAsiaTheme="majorEastAsia"/>
          <w:color w:val="auto"/>
        </w:rPr>
      </w:pPr>
      <w:r>
        <w:rPr>
          <w:rFonts w:eastAsiaTheme="majorEastAsia"/>
          <w:color w:val="auto"/>
        </w:rPr>
        <w:t>不断完善保护利用规划体系</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2011年以来，先后组织编制或修编了《防城港市生态功能区划》、《防城港市海岛保护规划（2012-2020）》、《防城港市入海污染物排放总量控制研究与规划》、《防城港市养殖水域滩涂规划（2016-2020）》、《广西北仑河口国家级自然保护区总体规划》、《防城港市白龙珍珠湾海洋牧场示范区规划》等，并启动了防城港市海洋生态红线划定工作，进一步完善海洋规划体系，为防城港市海洋综合管理的科学化、规范化奠定了基础。</w:t>
      </w:r>
    </w:p>
    <w:p>
      <w:pPr>
        <w:pStyle w:val="59"/>
        <w:numPr>
          <w:ilvl w:val="0"/>
          <w:numId w:val="1"/>
        </w:numPr>
        <w:spacing w:before="0" w:after="0" w:line="240" w:lineRule="auto"/>
        <w:ind w:firstLineChars="0"/>
        <w:rPr>
          <w:rFonts w:eastAsiaTheme="majorEastAsia"/>
          <w:color w:val="auto"/>
        </w:rPr>
      </w:pPr>
      <w:r>
        <w:rPr>
          <w:rFonts w:eastAsiaTheme="majorEastAsia"/>
          <w:color w:val="auto"/>
        </w:rPr>
        <w:t>持续加大管理和执法力度</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市海洋局积极做好项目用海环境评审和海域使用论证工作，保障重大民生工程的集约用海、生态用海；中国海监防城港支队和市环境监察支队的级别升格至副处级，进一步提升装备配备水平，执法能力不断提升</w:t>
      </w:r>
      <w:r>
        <w:rPr>
          <w:rFonts w:ascii="Times New Roman" w:hAnsi="Times New Roman" w:cs="Times New Roman" w:eastAsiaTheme="majorEastAsia"/>
          <w:bCs/>
          <w:color w:val="auto"/>
          <w:sz w:val="28"/>
          <w:szCs w:val="28"/>
        </w:rPr>
        <w:t>；</w:t>
      </w:r>
      <w:r>
        <w:rPr>
          <w:rFonts w:ascii="Times New Roman" w:hAnsi="Times New Roman" w:cs="Times New Roman" w:eastAsiaTheme="majorEastAsia"/>
          <w:color w:val="auto"/>
          <w:sz w:val="28"/>
          <w:szCs w:val="28"/>
        </w:rPr>
        <w:t>市环保局定期巡查海洋工程建设、运行及入海排污情况，开展环保专项行动。2014年，《防城港市海洋局、防城港市环境保护局关于建立完善海洋环境保护沟通合作机制的框架协议》签署执行，初步建立了陆海统筹联动保护和管理考核机制。同时，环保、海洋、海事、农业等多部门多次开展海洋环境保护联合执法检查，形成海洋环境保护工作合力，海洋综合执法能力不断增强。</w:t>
      </w:r>
    </w:p>
    <w:p>
      <w:pPr>
        <w:pStyle w:val="59"/>
        <w:numPr>
          <w:ilvl w:val="0"/>
          <w:numId w:val="1"/>
        </w:numPr>
        <w:spacing w:before="0" w:after="0" w:line="240" w:lineRule="auto"/>
        <w:ind w:firstLineChars="0"/>
        <w:rPr>
          <w:rFonts w:eastAsiaTheme="majorEastAsia"/>
          <w:color w:val="auto"/>
        </w:rPr>
      </w:pPr>
      <w:r>
        <w:rPr>
          <w:rFonts w:eastAsiaTheme="majorEastAsia"/>
          <w:color w:val="auto"/>
        </w:rPr>
        <w:t>扎实推进资源保护与修复工作</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近年来，市海洋局组织实施了“美丽海洋·清洁海滩”、西湾重点区域、防城港北码头周边海域的清理清洁活动，开展了保护区能力建设、滨海湿地生态修复、海域整治清淤及复岛等工程，推动海洋环境逐步改善；市林业局积极开展海防林改造和建设、红树林种植及病虫害防治等湿地保护与恢复项目，新造红树林260公顷，恢复200公顷；市水产局连续六年实施了海洋经济动物苗种增殖放流活动，累计放流鱼虾蟹贝约7.16亿尾（只），积极建设白龙珍珠湾海洋牧场示范区，建造投放人工鱼礁约1400多件、8万空·立方米，增殖大型海藻2000平方千米，增殖海洋渔业资源，改善海洋生态环境。</w:t>
      </w:r>
    </w:p>
    <w:p>
      <w:pPr>
        <w:pStyle w:val="59"/>
        <w:numPr>
          <w:ilvl w:val="0"/>
          <w:numId w:val="1"/>
        </w:numPr>
        <w:spacing w:before="0" w:after="0" w:line="240" w:lineRule="auto"/>
        <w:ind w:firstLineChars="0"/>
        <w:rPr>
          <w:rFonts w:eastAsiaTheme="majorEastAsia"/>
          <w:color w:val="auto"/>
        </w:rPr>
      </w:pPr>
      <w:r>
        <w:rPr>
          <w:rFonts w:eastAsiaTheme="majorEastAsia"/>
          <w:color w:val="auto"/>
        </w:rPr>
        <w:t>大力开展海洋环境监测监视</w:t>
      </w:r>
    </w:p>
    <w:p>
      <w:pPr>
        <w:ind w:firstLine="560" w:firstLineChars="200"/>
        <w:rPr>
          <w:rFonts w:ascii="Times New Roman" w:hAnsi="Times New Roman" w:cs="Times New Roman" w:eastAsiaTheme="majorEastAsia"/>
          <w:bCs/>
          <w:color w:val="auto"/>
          <w:sz w:val="28"/>
          <w:szCs w:val="28"/>
        </w:rPr>
      </w:pPr>
      <w:r>
        <w:rPr>
          <w:rFonts w:ascii="Times New Roman" w:hAnsi="Times New Roman" w:cs="Times New Roman" w:eastAsiaTheme="majorEastAsia"/>
          <w:bCs/>
          <w:color w:val="auto"/>
          <w:sz w:val="28"/>
          <w:szCs w:val="28"/>
        </w:rPr>
        <w:t>在广西率先成立了市级海洋环境监测机构—防城港市海洋环境监测预报中心，通过国家计量实验室资质认定，拥有大型监测仪器近10台（套），监测项目覆盖七大类65项，可独立承担国家和地方下达的各项海洋监测任务，并编制我市年度海洋环境质量公报。至2015年，先后成立了市级、东兴市、港口区和防城区等4个海域动态监管中心，初步形成市、县二级海域动态监管体系，海域使用得到有效规范管理。</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我市已形成国家、自治区及市三级海洋环境监测网络，实现重点海域全覆盖。监测区域涵盖入海河流、入海排污口、近岸海域等重点海区，以及增养殖区、海水浴场、海洋保护区、生态监控区等敏感区，并配备自动在线监测设备，基本满足我市海洋环境管控需求。</w:t>
      </w:r>
    </w:p>
    <w:p>
      <w:pPr>
        <w:pStyle w:val="59"/>
        <w:numPr>
          <w:ilvl w:val="0"/>
          <w:numId w:val="1"/>
        </w:numPr>
        <w:spacing w:before="0" w:after="0" w:line="240" w:lineRule="auto"/>
        <w:ind w:firstLineChars="0"/>
        <w:rPr>
          <w:rFonts w:eastAsiaTheme="majorEastAsia"/>
          <w:color w:val="auto"/>
        </w:rPr>
      </w:pPr>
      <w:r>
        <w:rPr>
          <w:rFonts w:eastAsiaTheme="majorEastAsia"/>
          <w:color w:val="auto"/>
        </w:rPr>
        <w:t>稳步提升海洋灾害应急能力</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结合国家和自治区颁布的各类海洋灾害应急预案，针对本市实际情况制定了《防城港市海上溢油应急计划》、《防城港市风暴潮海浪海啸灾害群防应急系统建设实施方案》、《防城港市防御台风和洪涝干旱灾害应急预案》、《</w:t>
      </w:r>
      <w:r>
        <w:rPr>
          <w:rFonts w:ascii="Times New Roman" w:hAnsi="Times New Roman" w:cs="Times New Roman" w:eastAsiaTheme="majorEastAsia"/>
          <w:bCs/>
          <w:color w:val="auto"/>
          <w:sz w:val="28"/>
          <w:szCs w:val="28"/>
        </w:rPr>
        <w:t>防城港市水产畜牧业防御台风应急预案</w:t>
      </w:r>
      <w:r>
        <w:rPr>
          <w:rFonts w:ascii="Times New Roman" w:hAnsi="Times New Roman" w:cs="Times New Roman" w:eastAsiaTheme="majorEastAsia"/>
          <w:color w:val="auto"/>
          <w:sz w:val="28"/>
          <w:szCs w:val="28"/>
        </w:rPr>
        <w:t>》、《</w:t>
      </w:r>
      <w:r>
        <w:rPr>
          <w:rFonts w:ascii="Times New Roman" w:hAnsi="Times New Roman" w:cs="Times New Roman" w:eastAsiaTheme="majorEastAsia"/>
          <w:bCs/>
          <w:color w:val="auto"/>
          <w:sz w:val="28"/>
          <w:szCs w:val="28"/>
        </w:rPr>
        <w:t>防城港市环境保护局突发环境污染事件应急预案</w:t>
      </w:r>
      <w:r>
        <w:rPr>
          <w:rFonts w:ascii="Times New Roman" w:hAnsi="Times New Roman" w:cs="Times New Roman" w:eastAsiaTheme="majorEastAsia"/>
          <w:color w:val="auto"/>
          <w:sz w:val="28"/>
          <w:szCs w:val="28"/>
        </w:rPr>
        <w:t>》，成立了各类风险应急领导小组，组建了应急反应队伍和专家组，并定期演练，初步形成陆源排污、海洋倾废、溢油、危险化学品泄漏等海洋环境污染突发事件的综合应急能力。防城港市海事部门设置了船舶监督处（即危管防污处），指导成立了3家船舶污染清除单位，并积极推进溢油应急设备库建设，至今拥有围油栏约2万米，清污船舶20多艘以及一批收油机、消油剂等清油设备及用品。全市海洋防灾减灾能力得到大幅提升。</w:t>
      </w:r>
    </w:p>
    <w:p>
      <w:pPr>
        <w:spacing w:line="276" w:lineRule="auto"/>
        <w:jc w:val="center"/>
        <w:rPr>
          <w:rFonts w:ascii="Times New Roman" w:hAnsi="Times New Roman" w:cs="Times New Roman" w:eastAsiaTheme="majorEastAsia"/>
          <w:b/>
          <w:bCs/>
          <w:color w:val="auto"/>
        </w:rPr>
      </w:pPr>
    </w:p>
    <w:p>
      <w:pPr>
        <w:spacing w:line="276" w:lineRule="auto"/>
        <w:jc w:val="center"/>
        <w:rPr>
          <w:rFonts w:ascii="Times New Roman" w:hAnsi="Times New Roman" w:cs="Times New Roman" w:eastAsiaTheme="majorEastAsia"/>
          <w:b/>
          <w:color w:val="auto"/>
        </w:rPr>
      </w:pPr>
      <w:r>
        <w:rPr>
          <w:rFonts w:ascii="Times New Roman" w:hAnsi="Times New Roman" w:cs="Times New Roman" w:eastAsiaTheme="majorEastAsia"/>
          <w:b/>
          <w:bCs/>
          <w:color w:val="auto"/>
        </w:rPr>
        <w:t>表3上</w:t>
      </w:r>
      <w:r>
        <w:rPr>
          <w:rFonts w:ascii="Times New Roman" w:hAnsi="Times New Roman" w:cs="Times New Roman" w:eastAsiaTheme="majorEastAsia"/>
          <w:b/>
          <w:color w:val="auto"/>
        </w:rPr>
        <w:t>期规划近期目标完成情况</w:t>
      </w:r>
    </w:p>
    <w:tbl>
      <w:tblPr>
        <w:tblStyle w:val="40"/>
        <w:tblW w:w="9923" w:type="dxa"/>
        <w:tblInd w:w="-6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44"/>
        <w:gridCol w:w="5103"/>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3544" w:type="dxa"/>
            <w:vAlign w:val="center"/>
          </w:tcPr>
          <w:p>
            <w:pPr>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近期目标（2010 ~2015年）</w:t>
            </w:r>
          </w:p>
        </w:tc>
        <w:tc>
          <w:tcPr>
            <w:tcW w:w="5103" w:type="dxa"/>
            <w:vAlign w:val="center"/>
          </w:tcPr>
          <w:p>
            <w:pPr>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执行情况说明</w:t>
            </w:r>
          </w:p>
        </w:tc>
        <w:tc>
          <w:tcPr>
            <w:tcW w:w="1276" w:type="dxa"/>
            <w:vAlign w:val="center"/>
          </w:tcPr>
          <w:p>
            <w:pPr>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完成情况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 基本控制新的海域环境污染，海域生态环境恶化与海洋生物资源衰退的趋势得到缓解</w:t>
            </w:r>
          </w:p>
        </w:tc>
        <w:tc>
          <w:tcPr>
            <w:tcW w:w="5103"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2015年，防城港市近岸海域海水环境状况总体较好，北仑河口、防城湾等局部近岸海域污染程度有所减缓。海洋浮游、底栖生物种类及数量总体保持平稳</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基本完成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 环境政策法规体系和管理与执法能力进一步加强</w:t>
            </w:r>
          </w:p>
        </w:tc>
        <w:tc>
          <w:tcPr>
            <w:tcW w:w="5103"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十二五以来，防城港市积极推进了海洋生态保护和管理相关的规划、区划、工作方案的编制；加强部门协作，陆海统筹联动保护和管理考核机制得到初步建立。海监支队、环境监察、渔政、海事、森林公安等部门进一步加强涉海执法能力建设</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基本完成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 城市生活污水处理率达 75%</w:t>
            </w:r>
          </w:p>
        </w:tc>
        <w:tc>
          <w:tcPr>
            <w:tcW w:w="5103"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2015年，我市市本级污水处理率达到85.7%</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4. 工业废水重复利用率达 85%</w:t>
            </w:r>
          </w:p>
        </w:tc>
        <w:tc>
          <w:tcPr>
            <w:tcW w:w="5103"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5. 削减污染排海强度和排放总量，提高工业废水回用率</w:t>
            </w:r>
          </w:p>
        </w:tc>
        <w:tc>
          <w:tcPr>
            <w:tcW w:w="5103"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近年来，防城港市陆源污染物入海总量处于较低水平。2015年，由防城江携带入海的污染物总量比2010年降低77.51%</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基本完成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 海洋环境保护基本建设取得明显进展，典型海洋生态系统得到重点保护，河口、海湾、湿地等重要生境得到有效监控</w:t>
            </w:r>
          </w:p>
        </w:tc>
        <w:tc>
          <w:tcPr>
            <w:tcW w:w="5103"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2015年，北仑河口自然保护区环境状况总体良好，红树林生态系统群落结构和面积均保持稳定并处于健康水平，生物群落结构稳定，鸟类种群明显增加；国家海洋局北海海洋环境监测中心站、防城港市海洋环境监测预报中心等监测单位定期开展对北仑河口湿地、重点海湾等重要生境的监视监测工作</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基本完成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7. 建设海域实时动态监测系统，逐步实现监测手段现代化，有效掌握防城港市海域水环境的时空变化规律</w:t>
            </w:r>
          </w:p>
        </w:tc>
        <w:tc>
          <w:tcPr>
            <w:tcW w:w="5103"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至2015年，在防城港近岸海域投放了6个海洋生态监测浮标，实时监测防城港海洋环境状况和陆源入海污染物排海情况；成立了市县两级共4个海域使用动态监管中心，建立海域动态远程视频监控系统，实时监控海域现状信息</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基本完成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544"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 海洋功能区环境质量稳定达标，部分受损的重要生态系统得到初步恢复和重建，生态功能基本稳定，海域环境质量日趋好转</w:t>
            </w:r>
          </w:p>
        </w:tc>
        <w:tc>
          <w:tcPr>
            <w:tcW w:w="5103" w:type="dxa"/>
            <w:vAlign w:val="center"/>
          </w:tcPr>
          <w:p>
            <w:pPr>
              <w:spacing w:before="100" w:beforeAutospacing="1" w:after="100" w:afterAutospacing="1"/>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2015年，主要海洋功能区环境质量基本满足环境保护目标要求。金滩海水浴场水质状况年度评价为良，适合开展游泳及休闲娱乐活动；红沙和珍珠湾两个海水增养殖区水质、沉积物基本满足养殖功能的需要；保护区红树林虫害得到有效控制，海洋生态环境总体良好</w:t>
            </w:r>
          </w:p>
        </w:tc>
        <w:tc>
          <w:tcPr>
            <w:tcW w:w="1276" w:type="dxa"/>
            <w:vAlign w:val="center"/>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基本完成</w:t>
            </w:r>
          </w:p>
        </w:tc>
      </w:tr>
    </w:tbl>
    <w:p>
      <w:pPr>
        <w:spacing w:line="276" w:lineRule="auto"/>
        <w:jc w:val="left"/>
        <w:rPr>
          <w:rFonts w:ascii="Times New Roman" w:hAnsi="Times New Roman" w:cs="Times New Roman" w:eastAsiaTheme="majorEastAsia"/>
          <w:color w:val="auto"/>
          <w:sz w:val="21"/>
          <w:szCs w:val="21"/>
        </w:rPr>
      </w:pPr>
      <w:r>
        <w:rPr>
          <w:rFonts w:ascii="Times New Roman" w:hAnsi="Times New Roman" w:cs="Times New Roman" w:eastAsiaTheme="majorEastAsia"/>
          <w:color w:val="auto"/>
          <w:sz w:val="21"/>
          <w:szCs w:val="21"/>
        </w:rPr>
        <w:t>注：“</w:t>
      </w:r>
      <w:r>
        <w:rPr>
          <w:rFonts w:ascii="Times New Roman" w:hAnsi="Times New Roman" w:cs="Times New Roman" w:eastAsiaTheme="majorEastAsia"/>
          <w:bCs/>
          <w:color w:val="auto"/>
          <w:kern w:val="0"/>
          <w:sz w:val="21"/>
          <w:szCs w:val="21"/>
        </w:rPr>
        <w:t>—</w:t>
      </w:r>
      <w:r>
        <w:rPr>
          <w:rFonts w:ascii="Times New Roman" w:hAnsi="Times New Roman" w:cs="Times New Roman" w:eastAsiaTheme="majorEastAsia"/>
          <w:color w:val="auto"/>
          <w:sz w:val="21"/>
          <w:szCs w:val="21"/>
        </w:rPr>
        <w:t>”表示未有统计数据，不做评价。</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r>
        <w:rPr>
          <w:rFonts w:ascii="Times New Roman" w:hAnsi="Times New Roman" w:eastAsiaTheme="majorEastAsia"/>
          <w:bCs/>
          <w:color w:val="auto"/>
          <w:sz w:val="32"/>
          <w:szCs w:val="32"/>
        </w:rPr>
        <w:br w:type="page"/>
      </w:r>
      <w:bookmarkStart w:id="13" w:name="_Toc441676961"/>
      <w:r>
        <w:rPr>
          <w:rFonts w:ascii="Times New Roman" w:hAnsi="Times New Roman" w:eastAsiaTheme="majorEastAsia"/>
          <w:bCs/>
          <w:color w:val="auto"/>
          <w:sz w:val="32"/>
          <w:szCs w:val="32"/>
        </w:rPr>
        <w:t>（四）加强海洋环境保护的重要性和紧迫性</w:t>
      </w:r>
      <w:bookmarkEnd w:id="13"/>
    </w:p>
    <w:p>
      <w:pPr>
        <w:pStyle w:val="59"/>
        <w:spacing w:before="0" w:after="0" w:line="240" w:lineRule="auto"/>
        <w:ind w:firstLineChars="0"/>
        <w:rPr>
          <w:rFonts w:eastAsiaTheme="majorEastAsia"/>
          <w:color w:val="auto"/>
        </w:rPr>
      </w:pPr>
      <w:r>
        <w:rPr>
          <w:rFonts w:eastAsiaTheme="majorEastAsia"/>
          <w:color w:val="auto"/>
        </w:rPr>
        <w:t>1. 发展机遇</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进入21世纪以来，面对我国日趋强化的资源环境约束，中共中央与时俱进地提出了坚持节约资源和保护环境的基本国策，创新性总结了人类迄今最高级的文明形态—生态文明，并将其理念、体制与制度体系不断发展完善。十八大以来，中共中央、国务院关于建设生态文明、改善生态环境的大政方针和细则条例迭出，特别是十八届五中全会明确提出“必须牢固树立创新、协调、绿色、开放、共享的发展理念”；“坚持可持续发展，坚定走生产发展、生活富裕、生态良好的文明发展道路，加快建设资源节约型、环境友好型社会，形成人与自然和谐发展现代化建设新格局”。近年来，国家实行能源消费总量、污染排放总量“双控”政策，资源与环境约束倒逼形成了发展绿色、高效经济的动力。在自治区层面，深入推进生态文明建设是今后一段时期的重要工作，“生态立区、生态兴区、生态强区”发展战略逐步形成共识。防城港市多年的经济快速发展为海洋生态文明建设和生态环境保护提供了雄厚的物质基础及技术支撑，广大人民群众对绿色安全和环境质量提出了新需求新期待。综合各项有利条件，加强生态文明建设，科学合理安排城市化格局、临海工业布局、农业发展格局、生态安全格局和自然岸线格局，强化节能减排措施，改善海洋生态环境，建成健康、清洁、美丽的工作生活环境及丰裕、安全、绿色的食品供给，是当前防城港市社会经济发展的最大目标。</w:t>
      </w:r>
    </w:p>
    <w:p>
      <w:pPr>
        <w:pStyle w:val="59"/>
        <w:spacing w:before="0" w:after="0" w:line="240" w:lineRule="auto"/>
        <w:ind w:firstLineChars="0"/>
        <w:rPr>
          <w:rFonts w:eastAsiaTheme="majorEastAsia"/>
          <w:color w:val="auto"/>
        </w:rPr>
      </w:pPr>
      <w:r>
        <w:rPr>
          <w:rFonts w:eastAsiaTheme="majorEastAsia"/>
          <w:color w:val="auto"/>
        </w:rPr>
        <w:t>2. 主要挑战</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2010年至2015年，防城港市的人口由86.69万增长到91.84万，平均每年增长1.16万人，人口密度提高较快，随着城镇化步伐的加快，人口有明显的由陆向海迁移的趋势；生产总值由320.42亿元增至620.72亿元，年平均增长速率达12.1%，三大产业结构由15：50：35调整为12：57：31，第二产业占GDP比重有所提高，随着工业化进程的不断推进，防城港市将进一步深化工业主导型的经济增长格局。</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近年来，防城港市委、市政府加快边海经济带建设，重点谋划布局港口经济、海洋经济、口岸经济、旅游经济、生态经济和互联网经济等六大经济业态，以打造钢铁产业、有色金属产业、食品产业、能源产业、石化产业、装备制造产业等六大支柱产业为核心，同时培育高新技术产业；以企沙工业区、大西南临港工业园、东湾物流加工区、跨境合作区、防城港市高新区、企沙东岛能源化工基地（规划或筹建）等六大产业园区为核心，加强基础设施建设，完善功能配套，提升产业集聚能力。至2020年，将防城港市打造成依托深水港、企沙重工业基地和沿边优势，建成北部湾现代化主要港口城市、沿海现代制造业基地、西南沿海重要的新型能源基地、及以海洋文化和边境贸易为特色的风景旅游城市。</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“十三五”期间，防城港市的人口与产业向海岸带集聚，将进一步消耗岸线、滩涂、浅海等空间资源、海洋生物资源及海洋环境容量，海洋生态环境面临严峻挑战，具体表现为：</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（1）局部海域污染趋于加大</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近年来，防城港湾、北仑河口及红沙海域长期存在水体无机氮和活性磷酸盐超标现象，局部出现劣四类海水，超标海域面积呈逐年小幅度增加趋势。据预测</w:t>
      </w:r>
      <w:r>
        <w:rPr>
          <w:rStyle w:val="38"/>
          <w:rFonts w:ascii="Times New Roman" w:hAnsi="Times New Roman" w:cs="Times New Roman" w:eastAsiaTheme="majorEastAsia"/>
          <w:color w:val="auto"/>
          <w:sz w:val="28"/>
          <w:szCs w:val="28"/>
        </w:rPr>
        <w:footnoteReference w:id="1"/>
      </w:r>
      <w:r>
        <w:rPr>
          <w:rFonts w:ascii="Times New Roman" w:hAnsi="Times New Roman" w:cs="Times New Roman" w:eastAsiaTheme="majorEastAsia"/>
          <w:color w:val="auto"/>
          <w:sz w:val="28"/>
          <w:szCs w:val="28"/>
        </w:rPr>
        <w:t>，至2020年防城港市入海污染物COD</w:t>
      </w:r>
      <w:r>
        <w:rPr>
          <w:rFonts w:ascii="Times New Roman" w:hAnsi="Times New Roman" w:cs="Times New Roman" w:eastAsiaTheme="majorEastAsia"/>
          <w:color w:val="auto"/>
          <w:sz w:val="28"/>
          <w:szCs w:val="28"/>
          <w:vertAlign w:val="subscript"/>
        </w:rPr>
        <w:t>cr</w:t>
      </w:r>
      <w:r>
        <w:rPr>
          <w:rFonts w:ascii="Times New Roman" w:hAnsi="Times New Roman" w:cs="Times New Roman" w:eastAsiaTheme="majorEastAsia"/>
          <w:color w:val="auto"/>
          <w:sz w:val="28"/>
          <w:szCs w:val="28"/>
        </w:rPr>
        <w:t>排放总量将达到60695吨，N排放总量为 4290吨，P 排放总量约为 726吨。随着沿海产业快速发展，人口向海岸带转移，如果城镇污水处理设施建设滞后、工业园区治污设施未配套完善，将引起生产生活污水入海量增多，造成一些河口海湾环境压力加大。另外，大部分港口船舶防污设备配备不足，污水和垃圾直排入海也将造成污染。</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（2）局部自然海岸发生侵蚀或淤积</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受自然和人为因素影响，防城港市局部海岸带发生不同程度的海岸侵蚀现象，较为突出的有西湾西海岸的脯鱼万村、东兴市澫尾金滩和光坡镇沙螺寮村等，其中脯鱼万村岸段很大程度上受西湾航道疏浚工程影响，海蚀现象尤为明显。至2030年</w:t>
      </w:r>
      <w:r>
        <w:rPr>
          <w:rStyle w:val="38"/>
          <w:rFonts w:ascii="Times New Roman" w:hAnsi="Times New Roman" w:cs="Times New Roman" w:eastAsiaTheme="majorEastAsia"/>
          <w:color w:val="auto"/>
          <w:sz w:val="28"/>
          <w:szCs w:val="28"/>
        </w:rPr>
        <w:footnoteReference w:id="2"/>
      </w:r>
      <w:r>
        <w:rPr>
          <w:rFonts w:ascii="Times New Roman" w:hAnsi="Times New Roman" w:cs="Times New Roman" w:eastAsiaTheme="majorEastAsia"/>
          <w:color w:val="auto"/>
          <w:sz w:val="28"/>
          <w:szCs w:val="28"/>
        </w:rPr>
        <w:t xml:space="preserve">，防城港市规划使用港口岸线 </w:t>
      </w:r>
      <w:r>
        <w:rPr>
          <w:rFonts w:hint="eastAsia" w:ascii="Times New Roman" w:hAnsi="Times New Roman" w:cs="Times New Roman" w:eastAsiaTheme="majorEastAsia"/>
          <w:color w:val="auto"/>
          <w:sz w:val="28"/>
          <w:szCs w:val="28"/>
        </w:rPr>
        <w:t>94.857</w:t>
      </w:r>
      <w:r>
        <w:rPr>
          <w:rFonts w:ascii="Times New Roman" w:hAnsi="Times New Roman" w:cs="Times New Roman" w:eastAsiaTheme="majorEastAsia"/>
          <w:color w:val="auto"/>
          <w:sz w:val="28"/>
          <w:szCs w:val="28"/>
        </w:rPr>
        <w:t xml:space="preserve">km（深水岸线 </w:t>
      </w:r>
      <w:r>
        <w:rPr>
          <w:rFonts w:hint="eastAsia" w:ascii="Times New Roman" w:hAnsi="Times New Roman" w:cs="Times New Roman" w:eastAsiaTheme="majorEastAsia"/>
          <w:color w:val="auto"/>
          <w:sz w:val="28"/>
          <w:szCs w:val="28"/>
        </w:rPr>
        <w:t>71.661</w:t>
      </w:r>
      <w:r>
        <w:rPr>
          <w:rFonts w:ascii="Times New Roman" w:hAnsi="Times New Roman" w:cs="Times New Roman" w:eastAsiaTheme="majorEastAsia"/>
          <w:color w:val="auto"/>
          <w:sz w:val="28"/>
          <w:szCs w:val="28"/>
        </w:rPr>
        <w:t>km），</w:t>
      </w:r>
      <w:r>
        <w:rPr>
          <w:rFonts w:hint="eastAsia" w:ascii="Times New Roman" w:hAnsi="Times New Roman" w:cs="Times New Roman" w:eastAsiaTheme="majorEastAsia"/>
          <w:color w:val="auto"/>
          <w:sz w:val="28"/>
          <w:szCs w:val="28"/>
        </w:rPr>
        <w:t>可建379个生产性泊位（深水泊位260个），占用自然岸线57.57km，为防城港市海岸线的10.7%，其中深水港口岸线占用自然岸线36.77km，为规划港口自然岸线的63.9%。大量</w:t>
      </w:r>
      <w:r>
        <w:rPr>
          <w:rFonts w:ascii="Times New Roman" w:hAnsi="Times New Roman" w:cs="Times New Roman" w:eastAsiaTheme="majorEastAsia"/>
          <w:color w:val="auto"/>
          <w:sz w:val="28"/>
          <w:szCs w:val="28"/>
        </w:rPr>
        <w:t>港口岸线的开发可能会改变海洋潮汐的流向和流速，引起新的岸线淤积或侵蚀。</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（3）生物多样性保护难度加大</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由于滨海植被受损、天敌生物缺乏及宏观气候异常等原因，近几年来防城港市红树林虫害发生呈上升趋势，且近两年发生了较严重的食叶性虫灾，其中2014年广州小斑螟危害面积0.53平方千米，2015年柚木驼蛾危害面积4.36平方千米。2010年至2014年，防城港市新增确权用海423宗，新增确权海域面积40.68平方千米，海域空间资源利用规模逐年增加。今后防城港市将继续推动实施983个“十百千”项目、383个城建项目及50个港口项目，预计用海面积超过100平方千米，且集中分布在企沙半岛、渔澫半岛、江山半岛、京族三岛等沿海地带。大规模的填海造地将引发海湾纳潮量降低、环境容量缩小、栖息地丧失、海洋环境同质化、生存廊道隔断等一系列生态问题，对保持地方海洋生物多样性造成较大威胁。</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（4）海洋灾害风险加大</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防城港市今后一段时期着力打造的六大支柱产业中，钢铁产业、有色金属产业、能源产业和石化产业通常是潜在的能耗大户和污染大户。这些临海重化工业带来的大量物资运输及生产，将产生溢油、石化有机物泄漏、磷酸泄漏、重金属矿物散落等潜在风险。沿海电厂运营产生的“三废”和温排水将引起部分海洋生物幼体死亡，及周边海洋生物群落发生显著变化，并加大赤潮等海洋灾害发生的风险。</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（5）近海渔业资源持续衰减</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非法捕捞、近岸污染、违法采砂及工程围填海建设等人为活动影响显著改变了局部渔业资源生境，使得北部湾海洋优质鱼种比例逐渐减少，渔汛特征不明显或消失，渔获优势种向小型化、低龄化转变。社会经济发展加大了海产品需求，海水养殖规模逐年扩大，至2020年，防城港市规划海水养殖面积139平方千米，海水养殖产品产量达40.0万吨，比2014年增加9.72万吨。另外，养殖技术粗放、滥用药物、残饵及排泄物直排入海等进一步加大海洋环境风险。</w:t>
      </w:r>
    </w:p>
    <w:p>
      <w:pPr>
        <w:pStyle w:val="2"/>
        <w:tabs>
          <w:tab w:val="clear" w:pos="750"/>
        </w:tabs>
        <w:spacing w:before="320" w:after="320" w:line="360" w:lineRule="auto"/>
        <w:jc w:val="center"/>
        <w:rPr>
          <w:rFonts w:ascii="Times New Roman" w:hAnsi="Times New Roman" w:eastAsiaTheme="majorEastAsia"/>
          <w:color w:val="auto"/>
          <w:sz w:val="44"/>
        </w:rPr>
      </w:pPr>
      <w:r>
        <w:rPr>
          <w:rFonts w:ascii="Times New Roman" w:hAnsi="Times New Roman" w:eastAsiaTheme="majorEastAsia"/>
          <w:color w:val="auto"/>
          <w:sz w:val="28"/>
          <w:szCs w:val="28"/>
        </w:rPr>
        <w:br w:type="page"/>
      </w:r>
      <w:bookmarkStart w:id="14" w:name="_Toc441676962"/>
      <w:r>
        <w:rPr>
          <w:rFonts w:ascii="Times New Roman" w:hAnsi="Times New Roman" w:eastAsiaTheme="majorEastAsia"/>
          <w:color w:val="auto"/>
          <w:sz w:val="44"/>
        </w:rPr>
        <w:t>第二章 指导思想、基本原则和规划目标</w:t>
      </w:r>
      <w:bookmarkEnd w:id="14"/>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15" w:name="_Toc441676963"/>
      <w:r>
        <w:rPr>
          <w:rFonts w:ascii="Times New Roman" w:hAnsi="Times New Roman" w:eastAsiaTheme="majorEastAsia"/>
          <w:bCs/>
          <w:color w:val="auto"/>
          <w:sz w:val="32"/>
          <w:szCs w:val="32"/>
        </w:rPr>
        <w:t>（一）指导思想</w:t>
      </w:r>
      <w:bookmarkEnd w:id="15"/>
    </w:p>
    <w:p>
      <w:pPr>
        <w:ind w:firstLine="560"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color w:val="auto"/>
          <w:sz w:val="28"/>
          <w:szCs w:val="28"/>
        </w:rPr>
        <w:t>以邓小平理论、“三个代表”重要思想、科学发展观为指导，全面贯彻党的十八大和十八届三中、四中、五中全会精神，深入贯彻习近平总书记系列重要讲话精神，按照中央“五位一体”总体布局和“四个全面”战略布局，围绕中央赋予广西的“三大定位”和自治区“两个建成”、“四大战略”、“三大攻坚战”、“海洋经济强区”部署，坚持节约优先、保护优先、自然恢复为主方针，以踏实推进海洋生态文明建设、积极参与共建21世纪海上丝绸之路为着力点，以海洋功能区划为基础，协调相关保护规划和发展规划，以打造防城港市“美丽海洋”工程示范区，“海洋生态文明示范区”、建设“海洋文化强市”、奋力打造广西“两个建成”先行区为目标，以正确处理人与自然关系为核心，以解决海洋生态环境领域突出问题为导向，保障区域生态安全，改善环境质量，提高资源利用效率，推动构建海洋生态环境和社会经济和谐发展新格局。</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16" w:name="_Toc441676964"/>
      <w:r>
        <w:rPr>
          <w:rFonts w:ascii="Times New Roman" w:hAnsi="Times New Roman" w:eastAsiaTheme="majorEastAsia"/>
          <w:bCs/>
          <w:color w:val="auto"/>
          <w:sz w:val="32"/>
          <w:szCs w:val="32"/>
        </w:rPr>
        <w:t>（二）基本原则</w:t>
      </w:r>
      <w:bookmarkEnd w:id="16"/>
    </w:p>
    <w:p>
      <w:pPr>
        <w:pStyle w:val="59"/>
        <w:spacing w:before="0" w:after="0" w:line="240" w:lineRule="auto"/>
        <w:ind w:firstLineChars="0"/>
        <w:rPr>
          <w:rFonts w:eastAsiaTheme="majorEastAsia"/>
          <w:color w:val="auto"/>
        </w:rPr>
      </w:pPr>
      <w:bookmarkStart w:id="17" w:name="_Toc421713513"/>
      <w:r>
        <w:rPr>
          <w:rFonts w:eastAsiaTheme="majorEastAsia"/>
          <w:color w:val="auto"/>
        </w:rPr>
        <w:t>1. 生态优先、绿色发展</w:t>
      </w:r>
    </w:p>
    <w:bookmarkEnd w:id="17"/>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严守生态红线，坚持环境生态优先，实行保护性开发。树立绿水青山的保护理念，节约自然资源，强化生态建设和环境保护，提高节能环保水平，切实保护区域环境，实现经济社会可持续发展，走一条让广大人民群众看得到、感受得到、享受得到的海洋生态文明建设之路。</w:t>
      </w:r>
    </w:p>
    <w:p>
      <w:pPr>
        <w:pStyle w:val="59"/>
        <w:spacing w:before="0" w:after="0" w:line="240" w:lineRule="auto"/>
        <w:ind w:firstLineChars="0"/>
        <w:rPr>
          <w:rFonts w:eastAsiaTheme="majorEastAsia"/>
          <w:color w:val="auto"/>
        </w:rPr>
      </w:pPr>
      <w:bookmarkStart w:id="18" w:name="_Toc421713514"/>
      <w:r>
        <w:rPr>
          <w:rFonts w:eastAsiaTheme="majorEastAsia"/>
          <w:color w:val="auto"/>
        </w:rPr>
        <w:t>2. 陆海统筹、部门联动</w:t>
      </w:r>
      <w:bookmarkEnd w:id="18"/>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坚持以防为主、防治结合和综合治理。以陆源入海污染物排放总量控制为重点，实施区域、流域、海域一体化全面防控。加强政府引导，落实责任目标，形成部门联动工作合力，有效控制海洋环境污染。</w:t>
      </w:r>
    </w:p>
    <w:p>
      <w:pPr>
        <w:pStyle w:val="59"/>
        <w:spacing w:before="0" w:after="0" w:line="240" w:lineRule="auto"/>
        <w:ind w:firstLineChars="0"/>
        <w:rPr>
          <w:rFonts w:eastAsiaTheme="majorEastAsia"/>
          <w:color w:val="auto"/>
        </w:rPr>
      </w:pPr>
      <w:bookmarkStart w:id="19" w:name="_Toc421713515"/>
      <w:r>
        <w:rPr>
          <w:rFonts w:eastAsiaTheme="majorEastAsia"/>
          <w:color w:val="auto"/>
        </w:rPr>
        <w:t>3. 因地制宜</w:t>
      </w:r>
      <w:bookmarkEnd w:id="19"/>
      <w:r>
        <w:rPr>
          <w:rFonts w:eastAsiaTheme="majorEastAsia"/>
          <w:color w:val="auto"/>
        </w:rPr>
        <w:t>、功能管制</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坚持社会需求与环境承载力相符，遵循海洋功能区划，分区实行生态环境管控。合理布局岸线及海域空间资源利用，构建生态安全格局和自然岸线格局。</w:t>
      </w:r>
    </w:p>
    <w:p>
      <w:pPr>
        <w:pStyle w:val="59"/>
        <w:spacing w:before="0" w:after="0" w:line="240" w:lineRule="auto"/>
        <w:ind w:firstLineChars="0"/>
        <w:rPr>
          <w:rFonts w:eastAsiaTheme="majorEastAsia"/>
          <w:color w:val="auto"/>
        </w:rPr>
      </w:pPr>
      <w:bookmarkStart w:id="20" w:name="_Toc421713516"/>
      <w:r>
        <w:rPr>
          <w:rFonts w:eastAsiaTheme="majorEastAsia"/>
          <w:color w:val="auto"/>
        </w:rPr>
        <w:t>4. 统筹规划、衔接协调</w:t>
      </w:r>
      <w:bookmarkEnd w:id="20"/>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坚持规划方案与各地区、各相关部门的发展相协调，与北部湾经济区发展规划、东兴国家重点开发开放试验区建设总体规划、边海经济带发展规划等相衔接，兼顾近期目标和远期目标的实现。</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21" w:name="_Toc441676965"/>
      <w:r>
        <w:rPr>
          <w:rFonts w:ascii="Times New Roman" w:hAnsi="Times New Roman" w:eastAsiaTheme="majorEastAsia"/>
          <w:bCs/>
          <w:color w:val="auto"/>
          <w:sz w:val="32"/>
          <w:szCs w:val="32"/>
        </w:rPr>
        <w:t>（三）规划目标</w:t>
      </w:r>
      <w:bookmarkEnd w:id="21"/>
    </w:p>
    <w:p>
      <w:pPr>
        <w:pStyle w:val="59"/>
        <w:spacing w:before="0" w:after="0" w:line="240" w:lineRule="auto"/>
        <w:ind w:firstLineChars="0"/>
        <w:rPr>
          <w:rFonts w:eastAsiaTheme="majorEastAsia"/>
          <w:color w:val="auto"/>
        </w:rPr>
      </w:pPr>
      <w:r>
        <w:rPr>
          <w:rFonts w:eastAsiaTheme="majorEastAsia"/>
          <w:color w:val="auto"/>
        </w:rPr>
        <w:t>1. 总体目标</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针对防城港市海洋环境现存问题及发展趋势，在海洋管理法规、监管执法能力建设、海洋环境污染防控、海洋生态保护建设与修复、海洋资源可持续利用、海洋环境监测预报和应急能力建设、海洋科技支撑能力提升等方面做出科学合理、全面系统的规划安排，以减轻海洋环境压力，遏制海洋环境生态退化趋势，保护和恢复海洋生态系统的重点服务功能，为防城港市海洋环境保护和管理工作提供决策依据，促进沿海生态环境、社会、经济的良性循环和可持续发展。</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（1）海洋生态文明制度体系逐步完善</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贯彻执行《生态文明体制改革总体方案》，协助自治区相关部门逐步构建起由自然资源资产产权制度、国土空间开发保护制度、空间规划体系、资源总量管理和全面节约制度、资源有偿使用和生态补偿制度、环境治理体系、环境治理和生态保护市场体系、生态文明绩效评价考核和责任追究制度等八项制度构成的生态文明制度体系。</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（2）海洋开发保护空间格局进一步优化</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依法实施海洋功能区划和海洋生态红线制度，分区实行海域用途管制及用海方式控制，并执行相关生态环境保护要求，科学调控围填海规模，保持自然岸线稳定，促进重点生态功能区、生态环境敏感区和脆弱区得到有效保护。</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（3）海洋生态环境得到根本好转</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全面落实近岸海域环境保护目标责任制，陆海污染源得到有效控制；强化水环境整治，局部海域环境质量得到进一步改善；加强海洋生态保护，海洋生物多样性与渔业资源衰退趋势基本得到遏制；实施海洋生态环境综合整治与修复工程，部分受损海洋生态系统得到恢复，沿海生态功能得到进一步增强。</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（4）海洋环境综合管理能力全面提高</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健全海洋环境保护法治体系，完善陆海统筹及多部门联动的污染防控机制；完善海洋环境实时监测体系建设，建成海洋信息管理与共享服务平台，赤潮、风暴潮、溢油、危险品泄露、核事故等海洋环境灾害应急响应能力得到较大提升，全面提高海洋环境综合管理能力。</w:t>
      </w:r>
    </w:p>
    <w:p>
      <w:pPr>
        <w:pStyle w:val="59"/>
        <w:spacing w:before="0" w:after="0" w:line="240" w:lineRule="auto"/>
        <w:ind w:firstLineChars="0"/>
        <w:rPr>
          <w:rFonts w:eastAsiaTheme="majorEastAsia"/>
          <w:color w:val="auto"/>
        </w:rPr>
      </w:pPr>
      <w:r>
        <w:rPr>
          <w:rFonts w:eastAsiaTheme="majorEastAsia"/>
          <w:color w:val="auto"/>
        </w:rPr>
        <w:t>2. 海洋环境保护规划指标</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从污染控制、环境质量、生态保护和修复、环境管理四个方面设定《规划》近期、远期的规划指标（见表4）。</w:t>
      </w:r>
    </w:p>
    <w:p>
      <w:pPr>
        <w:pStyle w:val="59"/>
        <w:spacing w:before="0" w:after="0" w:line="240" w:lineRule="auto"/>
        <w:ind w:firstLineChars="0"/>
        <w:rPr>
          <w:rFonts w:eastAsiaTheme="majorEastAsia"/>
          <w:color w:val="auto"/>
        </w:rPr>
        <w:sectPr>
          <w:headerReference r:id="rId9" w:type="first"/>
          <w:headerReference r:id="rId7" w:type="default"/>
          <w:footerReference r:id="rId10" w:type="default"/>
          <w:headerReference r:id="rId8" w:type="even"/>
          <w:pgSz w:w="11907" w:h="16839"/>
          <w:pgMar w:top="1440" w:right="1797" w:bottom="1440" w:left="1797" w:header="851" w:footer="992" w:gutter="0"/>
          <w:pgNumType w:start="1"/>
          <w:cols w:space="425" w:num="1"/>
          <w:docGrid w:type="lines" w:linePitch="326" w:charSpace="0"/>
        </w:sectPr>
      </w:pPr>
    </w:p>
    <w:p>
      <w:pPr>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表4 防城港市海洋环境保护规划目标指标</w:t>
      </w:r>
    </w:p>
    <w:tbl>
      <w:tblPr>
        <w:tblStyle w:val="40"/>
        <w:tblW w:w="13356" w:type="dxa"/>
        <w:jc w:val="center"/>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8"/>
        <w:gridCol w:w="684"/>
        <w:gridCol w:w="697"/>
        <w:gridCol w:w="3534"/>
        <w:gridCol w:w="3034"/>
        <w:gridCol w:w="2030"/>
        <w:gridCol w:w="26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698" w:type="dxa"/>
            <w:vMerge w:val="restart"/>
            <w:vAlign w:val="center"/>
          </w:tcPr>
          <w:p>
            <w:pPr>
              <w:spacing w:line="240" w:lineRule="auto"/>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序号</w:t>
            </w:r>
          </w:p>
        </w:tc>
        <w:tc>
          <w:tcPr>
            <w:tcW w:w="4915" w:type="dxa"/>
            <w:gridSpan w:val="3"/>
            <w:vMerge w:val="restart"/>
            <w:vAlign w:val="center"/>
          </w:tcPr>
          <w:p>
            <w:pPr>
              <w:spacing w:line="240" w:lineRule="auto"/>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规划指标</w:t>
            </w:r>
          </w:p>
        </w:tc>
        <w:tc>
          <w:tcPr>
            <w:tcW w:w="3034" w:type="dxa"/>
            <w:vMerge w:val="restart"/>
            <w:vAlign w:val="center"/>
          </w:tcPr>
          <w:p>
            <w:pPr>
              <w:spacing w:line="240" w:lineRule="auto"/>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现状值</w:t>
            </w:r>
          </w:p>
          <w:p>
            <w:pPr>
              <w:spacing w:line="240" w:lineRule="auto"/>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（2015年）</w:t>
            </w:r>
          </w:p>
        </w:tc>
        <w:tc>
          <w:tcPr>
            <w:tcW w:w="4709" w:type="dxa"/>
            <w:gridSpan w:val="2"/>
            <w:vAlign w:val="center"/>
          </w:tcPr>
          <w:p>
            <w:pPr>
              <w:spacing w:line="240" w:lineRule="auto"/>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目标值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jc w:val="center"/>
        </w:trPr>
        <w:tc>
          <w:tcPr>
            <w:tcW w:w="698" w:type="dxa"/>
            <w:vMerge w:val="continue"/>
            <w:vAlign w:val="center"/>
          </w:tcPr>
          <w:p>
            <w:pPr>
              <w:jc w:val="center"/>
              <w:rPr>
                <w:rFonts w:ascii="Times New Roman" w:hAnsi="Times New Roman" w:cs="Times New Roman" w:eastAsiaTheme="majorEastAsia"/>
                <w:b/>
                <w:bCs/>
                <w:color w:val="auto"/>
              </w:rPr>
            </w:pPr>
          </w:p>
        </w:tc>
        <w:tc>
          <w:tcPr>
            <w:tcW w:w="4915" w:type="dxa"/>
            <w:gridSpan w:val="3"/>
            <w:vMerge w:val="continue"/>
            <w:vAlign w:val="center"/>
          </w:tcPr>
          <w:p>
            <w:pPr>
              <w:jc w:val="center"/>
              <w:rPr>
                <w:rFonts w:ascii="Times New Roman" w:hAnsi="Times New Roman" w:cs="Times New Roman" w:eastAsiaTheme="majorEastAsia"/>
                <w:b/>
                <w:bCs/>
                <w:color w:val="auto"/>
              </w:rPr>
            </w:pPr>
          </w:p>
        </w:tc>
        <w:tc>
          <w:tcPr>
            <w:tcW w:w="3034" w:type="dxa"/>
            <w:vMerge w:val="continue"/>
            <w:vAlign w:val="center"/>
          </w:tcPr>
          <w:p>
            <w:pPr>
              <w:jc w:val="center"/>
              <w:rPr>
                <w:rFonts w:ascii="Times New Roman" w:hAnsi="Times New Roman" w:cs="Times New Roman" w:eastAsiaTheme="majorEastAsia"/>
                <w:b/>
                <w:bCs/>
                <w:color w:val="auto"/>
              </w:rPr>
            </w:pPr>
          </w:p>
        </w:tc>
        <w:tc>
          <w:tcPr>
            <w:tcW w:w="2030" w:type="dxa"/>
            <w:vAlign w:val="center"/>
          </w:tcPr>
          <w:p>
            <w:pPr>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近期（2020年）</w:t>
            </w:r>
          </w:p>
        </w:tc>
        <w:tc>
          <w:tcPr>
            <w:tcW w:w="2679" w:type="dxa"/>
            <w:vAlign w:val="center"/>
          </w:tcPr>
          <w:p>
            <w:pPr>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远期（2025年）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w:t>
            </w:r>
          </w:p>
        </w:tc>
        <w:tc>
          <w:tcPr>
            <w:tcW w:w="684" w:type="dxa"/>
            <w:vMerge w:val="restart"/>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污染控制目标</w:t>
            </w:r>
          </w:p>
        </w:tc>
        <w:tc>
          <w:tcPr>
            <w:tcW w:w="4231" w:type="dxa"/>
            <w:gridSpan w:val="2"/>
            <w:vAlign w:val="center"/>
          </w:tcPr>
          <w:p>
            <w:pPr>
              <w:widowControl/>
              <w:jc w:val="left"/>
              <w:rPr>
                <w:rFonts w:ascii="Times New Roman" w:hAnsi="Times New Roman" w:cs="Times New Roman" w:eastAsiaTheme="majorEastAsia"/>
                <w:color w:val="auto"/>
              </w:rPr>
            </w:pPr>
            <w:r>
              <w:rPr>
                <w:rFonts w:ascii="Times New Roman" w:hAnsi="Times New Roman" w:cs="Times New Roman" w:eastAsiaTheme="majorEastAsia"/>
                <w:color w:val="auto"/>
              </w:rPr>
              <w:t>入海污染物排放总量控制</w:t>
            </w:r>
          </w:p>
        </w:tc>
        <w:tc>
          <w:tcPr>
            <w:tcW w:w="303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p>
        </w:tc>
        <w:tc>
          <w:tcPr>
            <w:tcW w:w="4709"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符合国家和自治区总量控制要求，全面落实防城港湾、珍珠湾入海污染物排放总量控制目标责任制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color w:val="auto"/>
              </w:rPr>
            </w:pPr>
            <w:r>
              <w:rPr>
                <w:rFonts w:ascii="Times New Roman" w:hAnsi="Times New Roman" w:cs="Times New Roman" w:eastAsiaTheme="majorEastAsia"/>
                <w:color w:val="auto"/>
              </w:rPr>
              <w:t>陆源入海排污口达标率</w:t>
            </w:r>
          </w:p>
        </w:tc>
        <w:tc>
          <w:tcPr>
            <w:tcW w:w="303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38.9%</w:t>
            </w:r>
          </w:p>
        </w:tc>
        <w:tc>
          <w:tcPr>
            <w:tcW w:w="2030" w:type="dxa"/>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90%</w:t>
            </w:r>
          </w:p>
        </w:tc>
        <w:tc>
          <w:tcPr>
            <w:tcW w:w="2679" w:type="dxa"/>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3</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widowControl/>
              <w:jc w:val="left"/>
              <w:rPr>
                <w:rFonts w:ascii="Times New Roman" w:hAnsi="Times New Roman" w:cs="Times New Roman" w:eastAsiaTheme="majorEastAsia"/>
                <w:color w:val="auto"/>
              </w:rPr>
            </w:pPr>
            <w:r>
              <w:rPr>
                <w:rFonts w:ascii="Times New Roman" w:hAnsi="Times New Roman" w:cs="Times New Roman" w:eastAsiaTheme="majorEastAsia"/>
                <w:color w:val="auto"/>
              </w:rPr>
              <w:t>海上人工设施达标率</w:t>
            </w:r>
          </w:p>
        </w:tc>
        <w:tc>
          <w:tcPr>
            <w:tcW w:w="303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p>
        </w:tc>
        <w:tc>
          <w:tcPr>
            <w:tcW w:w="2030" w:type="dxa"/>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90%</w:t>
            </w:r>
          </w:p>
        </w:tc>
        <w:tc>
          <w:tcPr>
            <w:tcW w:w="2679" w:type="dxa"/>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4</w:t>
            </w:r>
          </w:p>
        </w:tc>
        <w:tc>
          <w:tcPr>
            <w:tcW w:w="684" w:type="dxa"/>
            <w:vMerge w:val="continue"/>
            <w:vAlign w:val="center"/>
          </w:tcPr>
          <w:p>
            <w:pPr>
              <w:jc w:val="center"/>
              <w:rPr>
                <w:rFonts w:ascii="Times New Roman" w:hAnsi="Times New Roman" w:cs="Times New Roman" w:eastAsiaTheme="majorEastAsia"/>
                <w:bCs/>
                <w:color w:val="auto"/>
              </w:rPr>
            </w:pPr>
          </w:p>
        </w:tc>
        <w:tc>
          <w:tcPr>
            <w:tcW w:w="697" w:type="dxa"/>
            <w:vMerge w:val="restart"/>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污水处理</w:t>
            </w:r>
          </w:p>
        </w:tc>
        <w:tc>
          <w:tcPr>
            <w:tcW w:w="35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县城污水处理率</w:t>
            </w:r>
          </w:p>
        </w:tc>
        <w:tc>
          <w:tcPr>
            <w:tcW w:w="3034" w:type="dxa"/>
          </w:tcPr>
          <w:p>
            <w:pPr>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2030"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85%</w:t>
            </w:r>
          </w:p>
        </w:tc>
        <w:tc>
          <w:tcPr>
            <w:tcW w:w="2679"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5</w:t>
            </w:r>
          </w:p>
        </w:tc>
        <w:tc>
          <w:tcPr>
            <w:tcW w:w="684" w:type="dxa"/>
            <w:vMerge w:val="continue"/>
            <w:vAlign w:val="center"/>
          </w:tcPr>
          <w:p>
            <w:pPr>
              <w:jc w:val="center"/>
              <w:rPr>
                <w:rFonts w:ascii="Times New Roman" w:hAnsi="Times New Roman" w:cs="Times New Roman" w:eastAsiaTheme="majorEastAsia"/>
                <w:bCs/>
                <w:color w:val="auto"/>
              </w:rPr>
            </w:pPr>
          </w:p>
        </w:tc>
        <w:tc>
          <w:tcPr>
            <w:tcW w:w="697" w:type="dxa"/>
            <w:vMerge w:val="continue"/>
            <w:vAlign w:val="center"/>
          </w:tcPr>
          <w:p>
            <w:pPr>
              <w:rPr>
                <w:rFonts w:ascii="Times New Roman" w:hAnsi="Times New Roman" w:cs="Times New Roman" w:eastAsiaTheme="majorEastAsia"/>
                <w:bCs/>
                <w:color w:val="auto"/>
              </w:rPr>
            </w:pPr>
          </w:p>
        </w:tc>
        <w:tc>
          <w:tcPr>
            <w:tcW w:w="35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城市污水处理率</w:t>
            </w:r>
          </w:p>
        </w:tc>
        <w:tc>
          <w:tcPr>
            <w:tcW w:w="3034" w:type="dxa"/>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w:t>
            </w:r>
            <w:r>
              <w:rPr>
                <w:rFonts w:ascii="Times New Roman" w:hAnsi="Times New Roman" w:cs="Times New Roman" w:eastAsiaTheme="majorEastAsia"/>
                <w:color w:val="auto"/>
              </w:rPr>
              <w:t>85 %</w:t>
            </w:r>
          </w:p>
        </w:tc>
        <w:tc>
          <w:tcPr>
            <w:tcW w:w="2030"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95%</w:t>
            </w:r>
          </w:p>
        </w:tc>
        <w:tc>
          <w:tcPr>
            <w:tcW w:w="2679"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6</w:t>
            </w:r>
          </w:p>
        </w:tc>
        <w:tc>
          <w:tcPr>
            <w:tcW w:w="684" w:type="dxa"/>
            <w:vMerge w:val="continue"/>
            <w:vAlign w:val="center"/>
          </w:tcPr>
          <w:p>
            <w:pPr>
              <w:jc w:val="center"/>
              <w:rPr>
                <w:rFonts w:ascii="Times New Roman" w:hAnsi="Times New Roman" w:cs="Times New Roman" w:eastAsiaTheme="majorEastAsia"/>
                <w:bCs/>
                <w:color w:val="auto"/>
              </w:rPr>
            </w:pPr>
          </w:p>
        </w:tc>
        <w:tc>
          <w:tcPr>
            <w:tcW w:w="697" w:type="dxa"/>
            <w:vMerge w:val="continue"/>
            <w:vAlign w:val="center"/>
          </w:tcPr>
          <w:p>
            <w:pPr>
              <w:rPr>
                <w:rFonts w:ascii="Times New Roman" w:hAnsi="Times New Roman" w:cs="Times New Roman" w:eastAsiaTheme="majorEastAsia"/>
                <w:bCs/>
                <w:color w:val="auto"/>
              </w:rPr>
            </w:pPr>
          </w:p>
        </w:tc>
        <w:tc>
          <w:tcPr>
            <w:tcW w:w="35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城市、县城污水处理率年增长率</w:t>
            </w:r>
          </w:p>
        </w:tc>
        <w:tc>
          <w:tcPr>
            <w:tcW w:w="3034" w:type="dxa"/>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p>
        </w:tc>
        <w:tc>
          <w:tcPr>
            <w:tcW w:w="2030"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2%</w:t>
            </w:r>
          </w:p>
        </w:tc>
        <w:tc>
          <w:tcPr>
            <w:tcW w:w="2679"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7</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城市污泥无害化处理处置率</w:t>
            </w:r>
          </w:p>
        </w:tc>
        <w:tc>
          <w:tcPr>
            <w:tcW w:w="303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p>
        </w:tc>
        <w:tc>
          <w:tcPr>
            <w:tcW w:w="2030" w:type="dxa"/>
          </w:tcPr>
          <w:p>
            <w:pPr>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2679"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8</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船舶港口污染排放控制</w:t>
            </w:r>
          </w:p>
        </w:tc>
        <w:tc>
          <w:tcPr>
            <w:tcW w:w="303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p>
        </w:tc>
        <w:tc>
          <w:tcPr>
            <w:tcW w:w="4709"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完成船舶及其设施、设备的环保改造任务，完成修造（拆）船业污染专项整治任务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9</w:t>
            </w:r>
          </w:p>
        </w:tc>
        <w:tc>
          <w:tcPr>
            <w:tcW w:w="684" w:type="dxa"/>
            <w:vMerge w:val="restart"/>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环境质量目标</w:t>
            </w: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近岸海域环境质量</w:t>
            </w:r>
          </w:p>
        </w:tc>
        <w:tc>
          <w:tcPr>
            <w:tcW w:w="30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防城港近岸海域环境状况总体较好，但部分海湾及近岸河口海水污染依然严重</w:t>
            </w:r>
          </w:p>
        </w:tc>
        <w:tc>
          <w:tcPr>
            <w:tcW w:w="4709"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保持稳定不降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10</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近岸海域水质优良（一二类）比例（%）（国控站位）</w:t>
            </w:r>
          </w:p>
        </w:tc>
        <w:tc>
          <w:tcPr>
            <w:tcW w:w="303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p>
        </w:tc>
        <w:tc>
          <w:tcPr>
            <w:tcW w:w="4709" w:type="dxa"/>
            <w:gridSpan w:val="2"/>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满足国家、自治区考核要求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11</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入海河流监测断面水质状况</w:t>
            </w:r>
          </w:p>
        </w:tc>
        <w:tc>
          <w:tcPr>
            <w:tcW w:w="30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防城江入海监测断面水质状况总体良好，年平均符合Ⅳ类地表水水质标准</w:t>
            </w:r>
          </w:p>
        </w:tc>
        <w:tc>
          <w:tcPr>
            <w:tcW w:w="4709" w:type="dxa"/>
            <w:gridSpan w:val="2"/>
            <w:vAlign w:val="center"/>
          </w:tcPr>
          <w:p>
            <w:pPr>
              <w:rPr>
                <w:rFonts w:ascii="Times New Roman" w:hAnsi="Times New Roman" w:cs="Times New Roman" w:eastAsiaTheme="majorEastAsia"/>
                <w:color w:val="auto"/>
              </w:rPr>
            </w:pPr>
            <w:r>
              <w:rPr>
                <w:rFonts w:ascii="Times New Roman" w:hAnsi="Times New Roman" w:cs="Times New Roman" w:eastAsiaTheme="majorEastAsia"/>
                <w:bCs/>
                <w:color w:val="auto"/>
              </w:rPr>
              <w:t>北仑河、防城江、茅岭江等河流水质达到优良。全部入海河流水质消除劣Ⅴ类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12</w:t>
            </w:r>
          </w:p>
        </w:tc>
        <w:tc>
          <w:tcPr>
            <w:tcW w:w="684" w:type="dxa"/>
            <w:vMerge w:val="restart"/>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生态保护目标</w:t>
            </w: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海洋生态红线区面积</w:t>
            </w:r>
          </w:p>
        </w:tc>
        <w:tc>
          <w:tcPr>
            <w:tcW w:w="303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p>
        </w:tc>
        <w:tc>
          <w:tcPr>
            <w:tcW w:w="2030"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≥35%</w:t>
            </w:r>
          </w:p>
        </w:tc>
        <w:tc>
          <w:tcPr>
            <w:tcW w:w="2679"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13</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color w:val="auto"/>
              </w:rPr>
            </w:pPr>
            <w:r>
              <w:rPr>
                <w:rFonts w:ascii="Times New Roman" w:hAnsi="Times New Roman" w:cs="Times New Roman" w:eastAsiaTheme="majorEastAsia"/>
                <w:color w:val="auto"/>
              </w:rPr>
              <w:t>大陆自然岸线保有率</w:t>
            </w:r>
          </w:p>
        </w:tc>
        <w:tc>
          <w:tcPr>
            <w:tcW w:w="3034"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2030"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≥35%</w:t>
            </w:r>
          </w:p>
        </w:tc>
        <w:tc>
          <w:tcPr>
            <w:tcW w:w="2679"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14</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tcBorders>
              <w:bottom w:val="single" w:color="auto" w:sz="4" w:space="0"/>
            </w:tcBorders>
            <w:vAlign w:val="center"/>
          </w:tcPr>
          <w:p>
            <w:pPr>
              <w:rPr>
                <w:rFonts w:ascii="Times New Roman" w:hAnsi="Times New Roman" w:cs="Times New Roman" w:eastAsiaTheme="majorEastAsia"/>
                <w:color w:val="auto"/>
              </w:rPr>
            </w:pPr>
            <w:r>
              <w:rPr>
                <w:rFonts w:ascii="Times New Roman" w:hAnsi="Times New Roman" w:cs="Times New Roman" w:eastAsiaTheme="majorEastAsia"/>
                <w:color w:val="auto"/>
              </w:rPr>
              <w:t>海岛自然岸线保有率</w:t>
            </w:r>
          </w:p>
        </w:tc>
        <w:tc>
          <w:tcPr>
            <w:tcW w:w="3034"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2030"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≥85%</w:t>
            </w:r>
          </w:p>
        </w:tc>
        <w:tc>
          <w:tcPr>
            <w:tcW w:w="2679" w:type="dxa"/>
            <w:vAlign w:val="center"/>
          </w:tcPr>
          <w:p>
            <w:pPr>
              <w:widowControl/>
              <w:jc w:val="center"/>
              <w:rPr>
                <w:rFonts w:ascii="Times New Roman" w:hAnsi="Times New Roman" w:cs="Times New Roman" w:eastAsiaTheme="majorEastAsia"/>
                <w:color w:val="auto"/>
              </w:rPr>
            </w:pPr>
            <w:r>
              <w:rPr>
                <w:rFonts w:ascii="Times New Roman" w:hAnsi="Times New Roman" w:cs="Times New Roman" w:eastAsiaTheme="majorEastAsia"/>
                <w:color w:val="auto"/>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15</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海洋保护区建设个数</w:t>
            </w:r>
          </w:p>
        </w:tc>
        <w:tc>
          <w:tcPr>
            <w:tcW w:w="30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现有国家级海洋自然保护区1个（</w:t>
            </w:r>
            <w:r>
              <w:rPr>
                <w:rFonts w:ascii="Times New Roman" w:hAnsi="Times New Roman" w:cs="Times New Roman" w:eastAsiaTheme="majorEastAsia"/>
                <w:color w:val="auto"/>
              </w:rPr>
              <w:t>广西北仑河口国家级自然保护区</w:t>
            </w:r>
            <w:r>
              <w:rPr>
                <w:rFonts w:ascii="Times New Roman" w:hAnsi="Times New Roman" w:cs="Times New Roman" w:eastAsiaTheme="majorEastAsia"/>
                <w:bCs/>
                <w:color w:val="auto"/>
              </w:rPr>
              <w:t>）</w:t>
            </w:r>
          </w:p>
        </w:tc>
        <w:tc>
          <w:tcPr>
            <w:tcW w:w="4709"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加强</w:t>
            </w:r>
            <w:r>
              <w:rPr>
                <w:rFonts w:ascii="Times New Roman" w:hAnsi="Times New Roman" w:cs="Times New Roman" w:eastAsiaTheme="majorEastAsia"/>
                <w:color w:val="auto"/>
              </w:rPr>
              <w:t>广西北仑河口国家级自然保护区标准化管理，</w:t>
            </w:r>
            <w:r>
              <w:rPr>
                <w:rFonts w:ascii="Times New Roman" w:hAnsi="Times New Roman" w:cs="Times New Roman" w:eastAsiaTheme="majorEastAsia"/>
                <w:bCs/>
                <w:color w:val="auto"/>
              </w:rPr>
              <w:t>推进建成石角红树林生态旅游示范区、防城港东湾红树林特别保护区、</w:t>
            </w:r>
            <w:r>
              <w:rPr>
                <w:rFonts w:ascii="Times New Roman" w:hAnsi="Times New Roman" w:cs="Times New Roman" w:eastAsiaTheme="majorEastAsia"/>
                <w:color w:val="auto"/>
              </w:rPr>
              <w:t>广西近海南部海洋特别保护区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16</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海洋保护区面积占近岸海域面积比例</w:t>
            </w:r>
          </w:p>
        </w:tc>
        <w:tc>
          <w:tcPr>
            <w:tcW w:w="30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现有保护区面积30.81平方千米，占近岸海域面积（功能区划面积2210平方千米）的1.36%</w:t>
            </w:r>
          </w:p>
        </w:tc>
        <w:tc>
          <w:tcPr>
            <w:tcW w:w="4709" w:type="dxa"/>
            <w:gridSpan w:val="2"/>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17</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红树林新增面积</w:t>
            </w:r>
          </w:p>
        </w:tc>
        <w:tc>
          <w:tcPr>
            <w:tcW w:w="30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现有红树林面积18.82平方千米，主要分布于北仑河口、珍珠湾、防城港东西湾</w:t>
            </w:r>
          </w:p>
        </w:tc>
        <w:tc>
          <w:tcPr>
            <w:tcW w:w="4709" w:type="dxa"/>
            <w:gridSpan w:val="2"/>
            <w:vAlign w:val="center"/>
          </w:tcPr>
          <w:p>
            <w:pPr>
              <w:jc w:val="left"/>
              <w:rPr>
                <w:rFonts w:ascii="Times New Roman" w:hAnsi="Times New Roman" w:cs="Times New Roman" w:eastAsiaTheme="majorEastAsia"/>
                <w:color w:val="auto"/>
              </w:rPr>
            </w:pPr>
            <w:r>
              <w:rPr>
                <w:rFonts w:ascii="Times New Roman" w:hAnsi="Times New Roman" w:cs="Times New Roman" w:eastAsiaTheme="majorEastAsia"/>
                <w:color w:val="auto"/>
              </w:rPr>
              <w:t>开展“南红北柳”湿地修复工程，新增北仑河口保护区红树林面积0.3平方千米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18</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海洋牧场建设个数及规模</w:t>
            </w:r>
          </w:p>
        </w:tc>
        <w:tc>
          <w:tcPr>
            <w:tcW w:w="30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color w:val="auto"/>
              </w:rPr>
              <w:t>2012-2015年度防城港市白龙珍珠湾海洋牧场示范区建设项目，用海3.5平方千米，建设人工鱼礁礁体8万多空</w:t>
            </w:r>
            <w:r>
              <w:rPr>
                <w:rFonts w:ascii="Times New Roman" w:hAnsi="Times New Roman" w:cs="Times New Roman" w:eastAsiaTheme="majorEastAsia"/>
                <w:bCs/>
                <w:color w:val="auto"/>
                <w:sz w:val="15"/>
                <w:szCs w:val="15"/>
              </w:rPr>
              <w:t>·</w:t>
            </w:r>
            <w:r>
              <w:rPr>
                <w:rFonts w:ascii="Times New Roman" w:hAnsi="Times New Roman" w:cs="Times New Roman" w:eastAsiaTheme="majorEastAsia"/>
                <w:color w:val="auto"/>
              </w:rPr>
              <w:t>立方米，已建造完成2万多空</w:t>
            </w:r>
            <w:r>
              <w:rPr>
                <w:rFonts w:ascii="Times New Roman" w:hAnsi="Times New Roman" w:cs="Times New Roman" w:eastAsiaTheme="majorEastAsia"/>
                <w:bCs/>
                <w:color w:val="auto"/>
                <w:sz w:val="15"/>
                <w:szCs w:val="15"/>
              </w:rPr>
              <w:t>·</w:t>
            </w:r>
            <w:r>
              <w:rPr>
                <w:rFonts w:ascii="Times New Roman" w:hAnsi="Times New Roman" w:cs="Times New Roman" w:eastAsiaTheme="majorEastAsia"/>
                <w:color w:val="auto"/>
              </w:rPr>
              <w:t>立方米</w:t>
            </w:r>
          </w:p>
        </w:tc>
        <w:tc>
          <w:tcPr>
            <w:tcW w:w="4709"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建成国家级现代海洋牧场示范区，投放近海人工鱼礁15万空</w:t>
            </w:r>
            <w:r>
              <w:rPr>
                <w:rFonts w:ascii="Times New Roman" w:hAnsi="Times New Roman" w:cs="Times New Roman" w:eastAsiaTheme="majorEastAsia"/>
                <w:bCs/>
                <w:color w:val="auto"/>
                <w:sz w:val="15"/>
                <w:szCs w:val="15"/>
              </w:rPr>
              <w:t>·</w:t>
            </w:r>
            <w:r>
              <w:rPr>
                <w:rFonts w:ascii="Times New Roman" w:hAnsi="Times New Roman" w:cs="Times New Roman" w:eastAsiaTheme="majorEastAsia"/>
                <w:bCs/>
                <w:color w:val="auto"/>
              </w:rPr>
              <w:t>立方米以上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19</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年增殖放流规模</w:t>
            </w:r>
          </w:p>
        </w:tc>
        <w:tc>
          <w:tcPr>
            <w:tcW w:w="3034" w:type="dxa"/>
            <w:vAlign w:val="center"/>
          </w:tcPr>
          <w:p>
            <w:pPr>
              <w:jc w:val="left"/>
              <w:rPr>
                <w:rFonts w:ascii="Times New Roman" w:hAnsi="Times New Roman" w:cs="Times New Roman" w:eastAsiaTheme="majorEastAsia"/>
                <w:bCs/>
                <w:color w:val="auto"/>
              </w:rPr>
            </w:pPr>
            <w:r>
              <w:rPr>
                <w:rFonts w:ascii="Times New Roman" w:hAnsi="Times New Roman" w:cs="Times New Roman" w:eastAsiaTheme="majorEastAsia"/>
                <w:bCs/>
                <w:color w:val="auto"/>
              </w:rPr>
              <w:t>1亿尾</w:t>
            </w:r>
          </w:p>
        </w:tc>
        <w:tc>
          <w:tcPr>
            <w:tcW w:w="2030"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1亿尾</w:t>
            </w:r>
          </w:p>
        </w:tc>
        <w:tc>
          <w:tcPr>
            <w:tcW w:w="2679"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color w:val="auto"/>
              </w:rPr>
              <w:t>＞</w:t>
            </w:r>
            <w:r>
              <w:rPr>
                <w:rFonts w:ascii="Times New Roman" w:hAnsi="Times New Roman" w:cs="Times New Roman" w:eastAsiaTheme="majorEastAsia"/>
                <w:bCs/>
                <w:color w:val="auto"/>
              </w:rPr>
              <w:t>1亿尾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20</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沿海防护林改造和建设面积</w:t>
            </w:r>
          </w:p>
        </w:tc>
        <w:tc>
          <w:tcPr>
            <w:tcW w:w="3034"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完成海防林计划任务32平方千米（含基干林带改造和纵深防护林营造）</w:t>
            </w:r>
          </w:p>
        </w:tc>
        <w:tc>
          <w:tcPr>
            <w:tcW w:w="2030"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修复沿海基干林带50千米</w:t>
            </w:r>
          </w:p>
        </w:tc>
        <w:tc>
          <w:tcPr>
            <w:tcW w:w="2679" w:type="dxa"/>
            <w:vAlign w:val="center"/>
          </w:tcPr>
          <w:p>
            <w:pPr>
              <w:jc w:val="center"/>
              <w:rPr>
                <w:rFonts w:ascii="Times New Roman" w:hAnsi="Times New Roman" w:cs="Times New Roman" w:eastAsiaTheme="majorEastAsia"/>
                <w:bCs/>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21</w:t>
            </w:r>
          </w:p>
        </w:tc>
        <w:tc>
          <w:tcPr>
            <w:tcW w:w="684" w:type="dxa"/>
            <w:vMerge w:val="continue"/>
            <w:vAlign w:val="center"/>
          </w:tcPr>
          <w:p>
            <w:pPr>
              <w:jc w:val="center"/>
              <w:rPr>
                <w:rFonts w:ascii="Times New Roman" w:hAnsi="Times New Roman" w:cs="Times New Roman" w:eastAsiaTheme="majorEastAsia"/>
                <w:bCs/>
                <w:color w:val="auto"/>
              </w:rPr>
            </w:pPr>
          </w:p>
        </w:tc>
        <w:tc>
          <w:tcPr>
            <w:tcW w:w="4231" w:type="dxa"/>
            <w:gridSpan w:val="2"/>
            <w:shd w:val="clear" w:color="auto" w:fill="auto"/>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海岛生态修复工程</w:t>
            </w:r>
          </w:p>
        </w:tc>
        <w:tc>
          <w:tcPr>
            <w:tcW w:w="3034" w:type="dxa"/>
            <w:shd w:val="clear" w:color="auto" w:fill="auto"/>
            <w:vAlign w:val="center"/>
          </w:tcPr>
          <w:p>
            <w:pPr>
              <w:rPr>
                <w:rFonts w:ascii="Times New Roman" w:hAnsi="Times New Roman" w:cs="Times New Roman" w:eastAsiaTheme="majorEastAsia"/>
                <w:bCs/>
                <w:color w:val="auto"/>
              </w:rPr>
            </w:pPr>
            <w:r>
              <w:rPr>
                <w:rFonts w:ascii="Times New Roman" w:hAnsi="Times New Roman" w:cs="Times New Roman" w:eastAsiaTheme="majorEastAsia"/>
                <w:bCs/>
                <w:color w:val="auto"/>
              </w:rPr>
              <w:t>已开展长榄岛修复工程</w:t>
            </w:r>
          </w:p>
        </w:tc>
        <w:tc>
          <w:tcPr>
            <w:tcW w:w="2030" w:type="dxa"/>
            <w:vAlign w:val="center"/>
          </w:tcPr>
          <w:p>
            <w:pPr>
              <w:rPr>
                <w:rFonts w:ascii="Times New Roman" w:hAnsi="Times New Roman" w:cs="Times New Roman" w:eastAsiaTheme="majorEastAsia"/>
                <w:bCs/>
                <w:color w:val="auto"/>
              </w:rPr>
            </w:pPr>
            <w:r>
              <w:rPr>
                <w:rFonts w:ascii="Times New Roman" w:hAnsi="Times New Roman" w:cs="Times New Roman" w:eastAsiaTheme="majorEastAsia"/>
                <w:color w:val="auto"/>
              </w:rPr>
              <w:t>开展并完成</w:t>
            </w:r>
            <w:r>
              <w:rPr>
                <w:rFonts w:hint="eastAsia" w:ascii="Times New Roman" w:hAnsi="Times New Roman" w:cs="Times New Roman" w:eastAsiaTheme="majorEastAsia"/>
                <w:color w:val="auto"/>
              </w:rPr>
              <w:t>山心沙岛</w:t>
            </w:r>
            <w:r>
              <w:rPr>
                <w:rFonts w:ascii="Times New Roman" w:hAnsi="Times New Roman" w:cs="Times New Roman" w:eastAsiaTheme="majorEastAsia"/>
                <w:color w:val="auto"/>
              </w:rPr>
              <w:t>、防城江入海口等规划海岛整治修复工程</w:t>
            </w:r>
          </w:p>
        </w:tc>
        <w:tc>
          <w:tcPr>
            <w:tcW w:w="2679" w:type="dxa"/>
            <w:vAlign w:val="center"/>
          </w:tcPr>
          <w:p>
            <w:pPr>
              <w:jc w:val="center"/>
              <w:rPr>
                <w:rFonts w:ascii="Times New Roman" w:hAnsi="Times New Roman" w:cs="Times New Roman" w:eastAsiaTheme="majorEastAsia"/>
                <w:bCs/>
                <w:color w:val="auto"/>
              </w:rPr>
            </w:pPr>
            <w:r>
              <w:rPr>
                <w:rFonts w:hint="eastAsia" w:ascii="Times New Roman" w:hAnsi="Times New Roman" w:cs="Times New Roman" w:eastAsiaTheme="majorEastAsia"/>
                <w:bCs/>
                <w:color w:val="auto"/>
              </w:rPr>
              <w:t>2</w:t>
            </w:r>
            <w:r>
              <w:rPr>
                <w:rFonts w:ascii="Times New Roman" w:hAnsi="Times New Roman" w:cs="Times New Roman" w:eastAsiaTheme="majorEastAsia"/>
                <w:bCs/>
                <w:color w:val="auto"/>
              </w:rPr>
              <w:t>-5个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8"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22</w:t>
            </w:r>
          </w:p>
        </w:tc>
        <w:tc>
          <w:tcPr>
            <w:tcW w:w="684" w:type="dxa"/>
            <w:vAlign w:val="center"/>
          </w:tcPr>
          <w:p>
            <w:pPr>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管理能力目标</w:t>
            </w:r>
          </w:p>
        </w:tc>
        <w:tc>
          <w:tcPr>
            <w:tcW w:w="4231" w:type="dxa"/>
            <w:gridSpan w:val="2"/>
            <w:vAlign w:val="center"/>
          </w:tcPr>
          <w:p>
            <w:pPr>
              <w:widowControl/>
              <w:rPr>
                <w:rFonts w:ascii="Times New Roman" w:hAnsi="Times New Roman" w:cs="Times New Roman" w:eastAsiaTheme="majorEastAsia"/>
                <w:color w:val="auto"/>
              </w:rPr>
            </w:pPr>
            <w:r>
              <w:rPr>
                <w:rFonts w:ascii="Times New Roman" w:hAnsi="Times New Roman" w:cs="Times New Roman" w:eastAsiaTheme="majorEastAsia"/>
                <w:color w:val="auto"/>
              </w:rPr>
              <w:t>海洋环境监管能力</w:t>
            </w:r>
          </w:p>
        </w:tc>
        <w:tc>
          <w:tcPr>
            <w:tcW w:w="3034" w:type="dxa"/>
            <w:vAlign w:val="center"/>
          </w:tcPr>
          <w:p>
            <w:pPr>
              <w:widowControl/>
              <w:rPr>
                <w:rFonts w:ascii="Times New Roman" w:hAnsi="Times New Roman" w:cs="Times New Roman" w:eastAsiaTheme="majorEastAsia"/>
                <w:color w:val="auto"/>
              </w:rPr>
            </w:pPr>
            <w:r>
              <w:rPr>
                <w:rFonts w:ascii="Times New Roman" w:hAnsi="Times New Roman" w:cs="Times New Roman" w:eastAsiaTheme="majorEastAsia"/>
                <w:color w:val="auto"/>
              </w:rPr>
              <w:t>配备船舶污染清除单位3家</w:t>
            </w:r>
          </w:p>
        </w:tc>
        <w:tc>
          <w:tcPr>
            <w:tcW w:w="4709" w:type="dxa"/>
            <w:gridSpan w:val="2"/>
            <w:vAlign w:val="center"/>
          </w:tcPr>
          <w:p>
            <w:pPr>
              <w:rPr>
                <w:rFonts w:ascii="Times New Roman" w:hAnsi="Times New Roman" w:cs="Times New Roman" w:eastAsiaTheme="majorEastAsia"/>
                <w:bCs/>
                <w:color w:val="auto"/>
              </w:rPr>
            </w:pPr>
            <w:r>
              <w:rPr>
                <w:rFonts w:ascii="Times New Roman" w:hAnsi="Times New Roman" w:cs="Times New Roman" w:eastAsiaTheme="majorEastAsia"/>
                <w:color w:val="auto"/>
              </w:rPr>
              <w:t>配备沿海小型溢油应急设备库1个，海洋放射性监测实验室以及核应急防护器材库各1个</w:t>
            </w:r>
          </w:p>
        </w:tc>
      </w:tr>
    </w:tbl>
    <w:p>
      <w:pPr>
        <w:widowControl/>
        <w:tabs>
          <w:tab w:val="clear" w:pos="750"/>
        </w:tabs>
        <w:spacing w:line="240" w:lineRule="auto"/>
        <w:rPr>
          <w:rFonts w:ascii="Times New Roman" w:hAnsi="Times New Roman" w:cs="Times New Roman" w:eastAsiaTheme="majorEastAsia"/>
          <w:b/>
          <w:bCs/>
          <w:color w:val="auto"/>
        </w:rPr>
        <w:sectPr>
          <w:pgSz w:w="16839" w:h="11907" w:orient="landscape"/>
          <w:pgMar w:top="1797" w:right="1440" w:bottom="1797" w:left="1440" w:header="851" w:footer="992" w:gutter="0"/>
          <w:cols w:space="425" w:num="1"/>
          <w:docGrid w:type="lines" w:linePitch="326" w:charSpace="0"/>
        </w:sectPr>
      </w:pPr>
    </w:p>
    <w:p>
      <w:pPr>
        <w:pStyle w:val="2"/>
        <w:tabs>
          <w:tab w:val="clear" w:pos="750"/>
        </w:tabs>
        <w:spacing w:before="320" w:after="320" w:line="360" w:lineRule="auto"/>
        <w:jc w:val="center"/>
        <w:rPr>
          <w:rFonts w:ascii="Times New Roman" w:hAnsi="Times New Roman" w:eastAsiaTheme="majorEastAsia"/>
          <w:color w:val="auto"/>
          <w:sz w:val="44"/>
        </w:rPr>
      </w:pPr>
      <w:bookmarkStart w:id="22" w:name="_Toc441676966"/>
      <w:r>
        <w:rPr>
          <w:rFonts w:ascii="Times New Roman" w:hAnsi="Times New Roman" w:eastAsiaTheme="majorEastAsia"/>
          <w:color w:val="auto"/>
          <w:sz w:val="44"/>
        </w:rPr>
        <w:t>第三章 海洋环境保护与建设的布局和任务</w:t>
      </w:r>
      <w:bookmarkEnd w:id="22"/>
    </w:p>
    <w:p>
      <w:pPr>
        <w:pStyle w:val="3"/>
        <w:tabs>
          <w:tab w:val="clear" w:pos="750"/>
        </w:tabs>
        <w:spacing w:before="120" w:after="120" w:line="360" w:lineRule="auto"/>
        <w:ind w:firstLine="495" w:firstLineChars="176"/>
        <w:rPr>
          <w:rFonts w:ascii="Times New Roman" w:hAnsi="Times New Roman" w:eastAsiaTheme="majorEastAsia"/>
          <w:bCs/>
          <w:color w:val="auto"/>
        </w:rPr>
      </w:pPr>
      <w:bookmarkStart w:id="23" w:name="_Toc438980820"/>
      <w:bookmarkStart w:id="24" w:name="_Toc441676967"/>
      <w:r>
        <w:rPr>
          <w:rFonts w:ascii="Times New Roman" w:hAnsi="Times New Roman" w:eastAsiaTheme="majorEastAsia"/>
          <w:color w:val="auto"/>
        </w:rPr>
        <w:t>（一）区划布局</w:t>
      </w:r>
      <w:bookmarkEnd w:id="23"/>
    </w:p>
    <w:p>
      <w:pPr>
        <w:widowControl/>
        <w:tabs>
          <w:tab w:val="clear" w:pos="750"/>
        </w:tabs>
        <w:spacing w:line="240" w:lineRule="auto"/>
        <w:ind w:firstLine="560" w:firstLineChars="200"/>
        <w:jc w:val="left"/>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 优化海洋空间开发布局，统筹考虑公众亲海与生态环境保护用海的需求，大力促进近海资源由生产要素向消费要素转变，增加有效供给。根据防城港市近岸海洋环境保护与建设的需求，科学合理安排生态安全格局、岸线保护利用格局、农业发展格局、城市化格局、临海工业格局，将规划海域划分成绿色屏障、金色海岸、蓝色粮仓和多彩经济四个分区，构建可持续的生态空间、生活空间和生产空间，并实施空间布局管控，维护海洋生态健康、生态安全及生态价值，推动防城港市全面建成小康社会，基本建成“生态宜居城市、海洋文化名市、国际通道枢纽城市、现代工业城市”。</w:t>
      </w:r>
    </w:p>
    <w:p>
      <w:pPr>
        <w:pStyle w:val="59"/>
        <w:spacing w:before="0" w:after="0" w:line="240" w:lineRule="auto"/>
        <w:ind w:firstLineChars="0"/>
        <w:rPr>
          <w:rFonts w:eastAsiaTheme="majorEastAsia"/>
          <w:color w:val="auto"/>
        </w:rPr>
      </w:pPr>
      <w:r>
        <w:rPr>
          <w:rFonts w:eastAsiaTheme="majorEastAsia"/>
          <w:color w:val="auto"/>
        </w:rPr>
        <w:t>1. 绿色屏障</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维护生态功能，构筑天然屏障。</w:t>
      </w:r>
      <w:r>
        <w:rPr>
          <w:rFonts w:ascii="Times New Roman" w:hAnsi="Times New Roman" w:cs="Times New Roman" w:eastAsiaTheme="majorEastAsia"/>
          <w:color w:val="auto"/>
          <w:sz w:val="28"/>
          <w:szCs w:val="28"/>
        </w:rPr>
        <w:t>识别近岸海域重点生态保护目标，建设和维护绿色安全屏障，确保十万大山功能区向海自然延伸，对接北仑河口至珍珠港功能区，实现陆地与海洋连接浑然一体的生物多样性保护功能带。区划面积共31</w:t>
      </w:r>
      <w:r>
        <w:rPr>
          <w:rFonts w:hint="eastAsia" w:ascii="Times New Roman" w:hAnsi="Times New Roman" w:cs="Times New Roman" w:eastAsiaTheme="majorEastAsia"/>
          <w:color w:val="auto"/>
          <w:sz w:val="28"/>
          <w:szCs w:val="28"/>
        </w:rPr>
        <w:t>1.00</w:t>
      </w:r>
      <w:r>
        <w:rPr>
          <w:rFonts w:ascii="Times New Roman" w:hAnsi="Times New Roman" w:cs="Times New Roman" w:eastAsiaTheme="majorEastAsia"/>
          <w:color w:val="auto"/>
          <w:sz w:val="28"/>
          <w:szCs w:val="28"/>
        </w:rPr>
        <w:t>平方千米，范围包括北仑河口国家级自然保护区、东湾红树林海洋特别保护区、广西近海南部海洋特别保护区、、白龙尾珊瑚</w:t>
      </w:r>
      <w:r>
        <w:rPr>
          <w:rFonts w:hint="eastAsia" w:ascii="Times New Roman" w:hAnsi="Times New Roman" w:cs="Times New Roman" w:eastAsiaTheme="majorEastAsia"/>
          <w:color w:val="auto"/>
          <w:sz w:val="28"/>
          <w:szCs w:val="28"/>
        </w:rPr>
        <w:t>海洋特别保护</w:t>
      </w:r>
      <w:r>
        <w:rPr>
          <w:rFonts w:ascii="Times New Roman" w:hAnsi="Times New Roman" w:cs="Times New Roman" w:eastAsiaTheme="majorEastAsia"/>
          <w:color w:val="auto"/>
          <w:sz w:val="28"/>
          <w:szCs w:val="28"/>
        </w:rPr>
        <w:t>区</w:t>
      </w:r>
      <w:r>
        <w:rPr>
          <w:rFonts w:hint="eastAsia" w:ascii="Times New Roman" w:hAnsi="Times New Roman" w:cs="Times New Roman" w:eastAsiaTheme="majorEastAsia"/>
          <w:color w:val="auto"/>
          <w:sz w:val="28"/>
          <w:szCs w:val="28"/>
        </w:rPr>
        <w:t>、</w:t>
      </w:r>
      <w:r>
        <w:rPr>
          <w:rFonts w:ascii="Times New Roman" w:hAnsi="Times New Roman" w:cs="Times New Roman" w:eastAsiaTheme="majorEastAsia"/>
          <w:color w:val="auto"/>
          <w:sz w:val="28"/>
          <w:szCs w:val="28"/>
        </w:rPr>
        <w:t>长榄岛红树林分布区。主要任务是：完善北仑河口国家级自然保护区建设，</w:t>
      </w:r>
      <w:r>
        <w:rPr>
          <w:rFonts w:ascii="Times New Roman" w:hAnsi="Times New Roman" w:cs="Times New Roman" w:eastAsiaTheme="majorEastAsia"/>
          <w:color w:val="auto"/>
          <w:kern w:val="0"/>
          <w:sz w:val="28"/>
          <w:szCs w:val="28"/>
        </w:rPr>
        <w:t>保护和修复红树林生境和生物多样性</w:t>
      </w:r>
      <w:r>
        <w:rPr>
          <w:rFonts w:ascii="Times New Roman" w:hAnsi="Times New Roman" w:cs="Times New Roman" w:eastAsiaTheme="majorEastAsia"/>
          <w:color w:val="auto"/>
          <w:sz w:val="28"/>
          <w:szCs w:val="28"/>
        </w:rPr>
        <w:t>；加强防城港东湾综合整治，筹建东湾红树林海洋特别保护区，整体提升深度开发中的环东湾产业区的绿色含量；协助推进广西近海南部海洋特别保护区建设，全面加强海洋生态环境建设。</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分区需实施强制性的环境保护措施，严格控制人类活动对自然生态系统的干扰；保护珍稀濒危海洋生物物种及其栖息环境；加强环境质量监测和预警能力。</w:t>
      </w:r>
    </w:p>
    <w:p>
      <w:pPr>
        <w:pStyle w:val="59"/>
        <w:spacing w:before="0" w:after="0" w:line="240" w:lineRule="auto"/>
        <w:ind w:firstLineChars="0"/>
        <w:rPr>
          <w:rFonts w:eastAsiaTheme="majorEastAsia"/>
          <w:color w:val="auto"/>
        </w:rPr>
      </w:pPr>
      <w:r>
        <w:rPr>
          <w:rFonts w:eastAsiaTheme="majorEastAsia"/>
          <w:color w:val="auto"/>
        </w:rPr>
        <w:t>2. 金色海岸</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保护岸滩环境，打造旅游胜地。</w:t>
      </w:r>
      <w:r>
        <w:rPr>
          <w:rFonts w:ascii="Times New Roman" w:hAnsi="Times New Roman" w:cs="Times New Roman" w:eastAsiaTheme="majorEastAsia"/>
          <w:color w:val="auto"/>
          <w:sz w:val="28"/>
          <w:szCs w:val="28"/>
        </w:rPr>
        <w:t>整合优良的滨海度假环境和丰富的历史文化遗存，打造滨海高档休闲度假旅游品牌，让市民就近享受阳光海浪沙滩，提升精神与文化，满足公众亲海需求，同时培育新的无烟经济增长点。区划面积共12</w:t>
      </w:r>
      <w:r>
        <w:rPr>
          <w:rFonts w:hint="eastAsia" w:ascii="Times New Roman" w:hAnsi="Times New Roman" w:cs="Times New Roman" w:eastAsiaTheme="majorEastAsia"/>
          <w:color w:val="auto"/>
          <w:sz w:val="28"/>
          <w:szCs w:val="28"/>
        </w:rPr>
        <w:t>4.55</w:t>
      </w:r>
      <w:r>
        <w:rPr>
          <w:rFonts w:ascii="Times New Roman" w:hAnsi="Times New Roman" w:cs="Times New Roman" w:eastAsiaTheme="majorEastAsia"/>
          <w:color w:val="auto"/>
          <w:sz w:val="28"/>
          <w:szCs w:val="28"/>
        </w:rPr>
        <w:t>平方千米。主要任务是：深挖滨海资源优势，打造金滩旅游娱乐区、江山半岛旅游娱乐区、西湾高端滨海旅游度假区、大东沙旅游区四个核心景区；加强旅游区沙滩的综合整治和修复，加快5A景区创建工作；加快马鞍岭旅游码头建设；推进一批星级酒店建设，提升旅游接待能力；打造百里黄金海岸景观带；启动西湾人文生态绿色廊道建设，积极申报西湾国家海洋公园；推动大东沙旅游区建设。大力发展滨海度假、海洋观光、海岛休闲、跨国邮轮游艇、海上运动、健康养生等特色旅游项目。</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分区需依据景区承载能力科学控制旅游强度；保护海岸景观和河口湿地景观；保护红树林、珊瑚生态系统；严格实行污水达标排放和生活垃圾无害化处置。</w:t>
      </w:r>
    </w:p>
    <w:p>
      <w:pPr>
        <w:pStyle w:val="59"/>
        <w:spacing w:before="0" w:after="0" w:line="240" w:lineRule="auto"/>
        <w:ind w:firstLineChars="0"/>
        <w:rPr>
          <w:rFonts w:eastAsiaTheme="majorEastAsia"/>
          <w:color w:val="auto"/>
        </w:rPr>
      </w:pPr>
      <w:r>
        <w:rPr>
          <w:rFonts w:eastAsiaTheme="majorEastAsia"/>
          <w:color w:val="auto"/>
        </w:rPr>
        <w:t>3. 蓝色粮仓</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深耕蓝色土地，建设海上粮仓。</w:t>
      </w:r>
      <w:r>
        <w:rPr>
          <w:rFonts w:ascii="Times New Roman" w:hAnsi="Times New Roman" w:cs="Times New Roman" w:eastAsiaTheme="majorEastAsia"/>
          <w:color w:val="auto"/>
          <w:sz w:val="28"/>
          <w:szCs w:val="28"/>
        </w:rPr>
        <w:t>依托优异的海洋生物资源和环境容量资源，适度利用近岸滩涂至浅海适宜增养殖区域，建设环境友好型、质量效益型、生态型的现代渔业，发展高效生态海水养殖，做强海产品精深加工，构筑生态、绿色、有机、健康的蓝色粮仓。区划面积共14</w:t>
      </w:r>
      <w:r>
        <w:rPr>
          <w:rFonts w:hint="eastAsia" w:ascii="Times New Roman" w:hAnsi="Times New Roman" w:cs="Times New Roman" w:eastAsiaTheme="majorEastAsia"/>
          <w:color w:val="auto"/>
          <w:sz w:val="28"/>
          <w:szCs w:val="28"/>
        </w:rPr>
        <w:t>36.54</w:t>
      </w:r>
      <w:r>
        <w:rPr>
          <w:rFonts w:ascii="Times New Roman" w:hAnsi="Times New Roman" w:cs="Times New Roman" w:eastAsiaTheme="majorEastAsia"/>
          <w:color w:val="auto"/>
          <w:sz w:val="28"/>
          <w:szCs w:val="28"/>
        </w:rPr>
        <w:t>平方千米，范围包括滩涂养殖区和浅海养殖区。滩涂养殖区包括竹山-巫头-珍珠湾滩涂养殖区、茅尾海西岸滩涂养殖区，主要任务是加强贝类苗种繁殖自然保护区管理，保障养殖贝类种质资源，推动北部湾水产苗种培育，发展江山、江平、茅岭滩涂养殖区，巩固巫头、万尾海域东兴现代特色海洋渔业核心示范区。浅海养殖区包括竹山-巫头浅海养殖区、珍珠湾浅海养殖区、江山半岛南岸浅海养殖区、企沙半岛东南岸浅海养殖区和红沙浅海养殖区，主要任务是</w:t>
      </w:r>
      <w:r>
        <w:rPr>
          <w:rFonts w:ascii="Times New Roman" w:hAnsi="Times New Roman" w:cs="Times New Roman" w:eastAsiaTheme="majorEastAsia"/>
          <w:color w:val="auto"/>
          <w:kern w:val="0"/>
          <w:sz w:val="28"/>
          <w:szCs w:val="28"/>
        </w:rPr>
        <w:t>因地制宜开展</w:t>
      </w:r>
      <w:r>
        <w:rPr>
          <w:rFonts w:ascii="Times New Roman" w:hAnsi="Times New Roman" w:cs="Times New Roman" w:eastAsiaTheme="majorEastAsia"/>
          <w:color w:val="auto"/>
          <w:sz w:val="28"/>
          <w:szCs w:val="28"/>
        </w:rPr>
        <w:t>近江牡蛎、马氏珍珠贝等筏式养殖，优化浅海普通网箱养殖布局，建设深海网箱养殖基地，实施贝类底播增殖。在白龙珍珠湾外海域建成国家级现代海洋牧场示范区，保护和增殖渔业资源、修复水域生态环境，带动增养殖业、休闲渔业及其他产业发展，促进渔业提质、增效、调结构，实现渔业可持续发展和渔民增收。</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分区需严格限制改变海域自然属性，保持海域环境容量，按照养殖容量控制养殖规模和养殖密度；引导扶持向离岸、深水发展，应用生态养殖技术，逐步开发休闲渔业。</w:t>
      </w:r>
    </w:p>
    <w:p>
      <w:pPr>
        <w:pStyle w:val="59"/>
        <w:spacing w:before="0" w:after="0" w:line="240" w:lineRule="auto"/>
        <w:ind w:firstLineChars="0"/>
        <w:rPr>
          <w:rFonts w:eastAsiaTheme="majorEastAsia"/>
          <w:color w:val="auto"/>
        </w:rPr>
      </w:pPr>
      <w:r>
        <w:rPr>
          <w:rFonts w:eastAsiaTheme="majorEastAsia"/>
          <w:color w:val="auto"/>
        </w:rPr>
        <w:t>4. 多彩经济</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优化港口布局，壮大产业集群。</w:t>
      </w:r>
      <w:r>
        <w:rPr>
          <w:rFonts w:ascii="Times New Roman" w:hAnsi="Times New Roman" w:cs="Times New Roman" w:eastAsiaTheme="majorEastAsia"/>
          <w:color w:val="auto"/>
          <w:sz w:val="28"/>
          <w:szCs w:val="28"/>
        </w:rPr>
        <w:t>坚持依法用海、生态用海，合理利用岸线和海域空间资源，优化多种产业布局，打造综合类生态工业园区，吸引优质产能，发展绿色海洋经济。区划面积共3</w:t>
      </w:r>
      <w:r>
        <w:rPr>
          <w:rFonts w:hint="eastAsia" w:ascii="Times New Roman" w:hAnsi="Times New Roman" w:cs="Times New Roman" w:eastAsiaTheme="majorEastAsia"/>
          <w:color w:val="auto"/>
          <w:sz w:val="28"/>
          <w:szCs w:val="28"/>
        </w:rPr>
        <w:t>35.50</w:t>
      </w:r>
      <w:r>
        <w:rPr>
          <w:rFonts w:ascii="Times New Roman" w:hAnsi="Times New Roman" w:cs="Times New Roman" w:eastAsiaTheme="majorEastAsia"/>
          <w:color w:val="auto"/>
          <w:sz w:val="28"/>
          <w:szCs w:val="28"/>
        </w:rPr>
        <w:t>平方千米，范围包括港口航运区和工业用海区。港口航运区包括渔澫港区、企沙港区、企沙东港区、白龙港点、榕木江港点、大小冬瓜港点、茅岭港点</w:t>
      </w:r>
      <w:r>
        <w:rPr>
          <w:rFonts w:hint="eastAsia" w:ascii="Times New Roman" w:hAnsi="Times New Roman" w:cs="Times New Roman" w:eastAsiaTheme="majorEastAsia"/>
          <w:color w:val="auto"/>
          <w:sz w:val="28"/>
          <w:szCs w:val="28"/>
        </w:rPr>
        <w:t>等区域</w:t>
      </w:r>
      <w:r>
        <w:rPr>
          <w:rFonts w:ascii="Times New Roman" w:hAnsi="Times New Roman" w:cs="Times New Roman" w:eastAsiaTheme="majorEastAsia"/>
          <w:color w:val="auto"/>
          <w:sz w:val="28"/>
          <w:szCs w:val="28"/>
        </w:rPr>
        <w:t>以及所有航道区、锚地区。工业用海区包括公车工业用海区、企沙工业用海区。</w:t>
      </w:r>
      <w:r>
        <w:rPr>
          <w:rFonts w:hint="eastAsia" w:ascii="Times New Roman" w:hAnsi="Times New Roman" w:cs="Times New Roman" w:eastAsiaTheme="majorEastAsia"/>
          <w:color w:val="auto"/>
          <w:sz w:val="28"/>
          <w:szCs w:val="28"/>
        </w:rPr>
        <w:t>各港区（港点）的</w:t>
      </w:r>
      <w:r>
        <w:rPr>
          <w:rFonts w:ascii="Times New Roman" w:hAnsi="Times New Roman" w:cs="Times New Roman" w:eastAsiaTheme="majorEastAsia"/>
          <w:color w:val="auto"/>
          <w:sz w:val="28"/>
          <w:szCs w:val="28"/>
        </w:rPr>
        <w:t>发展</w:t>
      </w:r>
      <w:r>
        <w:rPr>
          <w:rFonts w:hint="eastAsia" w:ascii="Times New Roman" w:hAnsi="Times New Roman" w:cs="Times New Roman" w:eastAsiaTheme="majorEastAsia"/>
          <w:color w:val="auto"/>
          <w:sz w:val="28"/>
          <w:szCs w:val="28"/>
        </w:rPr>
        <w:t>定位为</w:t>
      </w:r>
      <w:r>
        <w:rPr>
          <w:rFonts w:ascii="Times New Roman" w:hAnsi="Times New Roman" w:cs="Times New Roman" w:eastAsiaTheme="majorEastAsia"/>
          <w:color w:val="auto"/>
          <w:sz w:val="28"/>
          <w:szCs w:val="28"/>
        </w:rPr>
        <w:t>：</w:t>
      </w:r>
      <w:r>
        <w:rPr>
          <w:rFonts w:hint="eastAsia" w:ascii="Times New Roman" w:hAnsi="Times New Roman" w:cs="Times New Roman" w:eastAsiaTheme="majorEastAsia"/>
          <w:color w:val="auto"/>
          <w:sz w:val="28"/>
          <w:szCs w:val="28"/>
        </w:rPr>
        <w:t>渔港区是以矿石、煤炭、粮食等大宗干散货和集装箱、杂货、液体散货转运为主的大型综合性港区；根据港城和谐发展的需要，污染较大的干散货逐步从渔港区调整到企沙南作业区转运，港区重点发展粮食、集装箱等清洁货类运输，兼顾为旅游客运服务；企沙港区以大宗干散货、杂货和液体化工品转运为主的大型综合性港区，兼顾为临港工业服务；其他港点主要服务地方生产生活物质运输和旅游客运。</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分区需遵循节约集约用海原则，严格按照海洋功能区划有序进行开发建设活动，慎重填海工程审批，提高资源利用效率；加强污染控制力度，严格工程项目建设期与营运期的监督管理。</w:t>
      </w:r>
    </w:p>
    <w:bookmarkEnd w:id="24"/>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25" w:name="_Toc441676968"/>
      <w:r>
        <w:rPr>
          <w:rFonts w:ascii="Times New Roman" w:hAnsi="Times New Roman" w:eastAsiaTheme="majorEastAsia"/>
          <w:bCs/>
          <w:color w:val="auto"/>
          <w:sz w:val="32"/>
          <w:szCs w:val="32"/>
        </w:rPr>
        <w:t>（二）主要任务</w:t>
      </w:r>
      <w:bookmarkEnd w:id="25"/>
    </w:p>
    <w:p>
      <w:pPr>
        <w:pStyle w:val="59"/>
        <w:spacing w:before="0" w:after="0" w:line="240" w:lineRule="auto"/>
        <w:ind w:firstLineChars="0"/>
        <w:rPr>
          <w:rFonts w:eastAsiaTheme="majorEastAsia"/>
          <w:color w:val="auto"/>
        </w:rPr>
      </w:pPr>
      <w:r>
        <w:rPr>
          <w:rFonts w:eastAsiaTheme="majorEastAsia"/>
          <w:color w:val="auto"/>
        </w:rPr>
        <w:t xml:space="preserve">1. </w:t>
      </w:r>
      <w:bookmarkStart w:id="26" w:name="_Toc423103763"/>
      <w:bookmarkStart w:id="27" w:name="_Toc421713527"/>
      <w:bookmarkStart w:id="28" w:name="_Toc421701007"/>
      <w:r>
        <w:rPr>
          <w:rFonts w:eastAsiaTheme="majorEastAsia"/>
          <w:color w:val="auto"/>
        </w:rPr>
        <w:t>入海污染</w:t>
      </w:r>
      <w:bookmarkEnd w:id="26"/>
      <w:bookmarkEnd w:id="27"/>
      <w:bookmarkEnd w:id="28"/>
      <w:r>
        <w:rPr>
          <w:rFonts w:eastAsiaTheme="majorEastAsia"/>
          <w:color w:val="auto"/>
        </w:rPr>
        <w:t>源防治类任务</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（1）实施入海污染物总量控制</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编制防城港市近岸海域环境保护“十三五”规划，落实化学需氧量、氨氮、总氮、总磷及5类重点重金属（汞、铅、六价铬、镉、砷）等污染物总量控制目标及分配方案（部分污染物总量控制规划见表6）。至2020年，</w:t>
      </w:r>
      <w:r>
        <w:rPr>
          <w:rFonts w:ascii="Times New Roman" w:hAnsi="Times New Roman" w:cs="Times New Roman" w:eastAsiaTheme="majorEastAsia"/>
          <w:bCs/>
          <w:color w:val="auto"/>
          <w:sz w:val="28"/>
          <w:szCs w:val="28"/>
        </w:rPr>
        <w:t>全面落实防城港西湾、东湾、珍珠湾入海污染物排放总量控制目标责任制</w:t>
      </w:r>
      <w:r>
        <w:rPr>
          <w:rFonts w:ascii="Times New Roman" w:hAnsi="Times New Roman" w:cs="Times New Roman" w:eastAsiaTheme="majorEastAsia"/>
          <w:color w:val="auto"/>
          <w:sz w:val="28"/>
          <w:szCs w:val="28"/>
        </w:rPr>
        <w:t>，实现</w:t>
      </w:r>
      <w:r>
        <w:rPr>
          <w:rFonts w:ascii="Times New Roman" w:hAnsi="Times New Roman" w:cs="Times New Roman" w:eastAsiaTheme="majorEastAsia"/>
          <w:bCs/>
          <w:color w:val="auto"/>
          <w:sz w:val="28"/>
          <w:szCs w:val="28"/>
        </w:rPr>
        <w:t>近岸海域水质优良（一二类）比例（%）（国控站位）</w:t>
      </w:r>
      <w:r>
        <w:rPr>
          <w:rFonts w:ascii="Times New Roman" w:hAnsi="Times New Roman" w:cs="Times New Roman" w:eastAsiaTheme="majorEastAsia"/>
          <w:color w:val="auto"/>
          <w:sz w:val="28"/>
          <w:szCs w:val="28"/>
        </w:rPr>
        <w:t>满足国家和自治区的考核要求。</w:t>
      </w:r>
    </w:p>
    <w:p>
      <w:pPr>
        <w:jc w:val="center"/>
        <w:rPr>
          <w:rFonts w:ascii="Times New Roman" w:hAnsi="Times New Roman" w:cs="Times New Roman" w:eastAsiaTheme="majorEastAsia"/>
          <w:b/>
          <w:bCs/>
          <w:color w:val="auto"/>
        </w:rPr>
      </w:pPr>
      <w:r>
        <w:rPr>
          <w:rFonts w:ascii="Times New Roman" w:hAnsi="Times New Roman" w:cs="Times New Roman" w:eastAsiaTheme="majorEastAsia"/>
          <w:b/>
          <w:bCs/>
          <w:color w:val="auto"/>
        </w:rPr>
        <w:t>表6  防城港沿岸污染源排放剩余负荷分配（吨）</w:t>
      </w:r>
    </w:p>
    <w:tbl>
      <w:tblPr>
        <w:tblStyle w:val="40"/>
        <w:tblW w:w="85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2"/>
        <w:gridCol w:w="2132"/>
        <w:gridCol w:w="2132"/>
        <w:gridCol w:w="2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2132" w:type="dxa"/>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代表岸段</w:t>
            </w:r>
          </w:p>
        </w:tc>
        <w:tc>
          <w:tcPr>
            <w:tcW w:w="2132" w:type="dxa"/>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COD</w:t>
            </w:r>
          </w:p>
        </w:tc>
        <w:tc>
          <w:tcPr>
            <w:tcW w:w="2132" w:type="dxa"/>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N</w:t>
            </w:r>
          </w:p>
        </w:tc>
        <w:tc>
          <w:tcPr>
            <w:tcW w:w="2133" w:type="dxa"/>
          </w:tcPr>
          <w:p>
            <w:pPr>
              <w:spacing w:before="100" w:beforeAutospacing="1" w:after="100" w:afterAutospacing="1"/>
              <w:jc w:val="center"/>
              <w:rPr>
                <w:rFonts w:ascii="Times New Roman" w:hAnsi="Times New Roman" w:cs="Times New Roman" w:eastAsiaTheme="majorEastAsia"/>
                <w:b/>
                <w:bCs/>
                <w:color w:val="auto"/>
                <w:kern w:val="0"/>
              </w:rPr>
            </w:pPr>
            <w:r>
              <w:rPr>
                <w:rFonts w:ascii="Times New Roman" w:hAnsi="Times New Roman" w:cs="Times New Roman" w:eastAsiaTheme="majorEastAsia"/>
                <w:b/>
                <w:bCs/>
                <w:color w:val="auto"/>
                <w:kern w:val="0"/>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北仑河口</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1550</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0.0</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珍珠湾口</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11470</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263.6</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周墩</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658</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140.3</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防城江口</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505</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34.8</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防城港码头</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2860</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159.3</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东湾顶北侧</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118</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43.1</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东湾顶东北侧</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67</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24.3</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潭头</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933</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90.2</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电厂排水口</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756</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73.1</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20万吨码头</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16731</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350.4</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钢铁项目</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6983</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636.0</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金川项目</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1891</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220.0</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红沙核电</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13347</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965.2</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120.1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企沙</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2831</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262.5</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合计</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60700</w:t>
            </w:r>
          </w:p>
        </w:tc>
        <w:tc>
          <w:tcPr>
            <w:tcW w:w="2132"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3263</w:t>
            </w:r>
          </w:p>
        </w:tc>
        <w:tc>
          <w:tcPr>
            <w:tcW w:w="2133" w:type="dxa"/>
          </w:tcPr>
          <w:p>
            <w:pPr>
              <w:spacing w:before="100" w:beforeAutospacing="1" w:after="100" w:afterAutospacing="1"/>
              <w:jc w:val="center"/>
              <w:rPr>
                <w:rFonts w:ascii="Times New Roman" w:hAnsi="Times New Roman" w:cs="Times New Roman" w:eastAsiaTheme="majorEastAsia"/>
                <w:bCs/>
                <w:color w:val="auto"/>
                <w:kern w:val="0"/>
              </w:rPr>
            </w:pPr>
            <w:r>
              <w:rPr>
                <w:rFonts w:ascii="Times New Roman" w:hAnsi="Times New Roman" w:cs="Times New Roman" w:eastAsiaTheme="majorEastAsia"/>
                <w:bCs/>
                <w:color w:val="auto"/>
                <w:kern w:val="0"/>
              </w:rPr>
              <w:t>278</w:t>
            </w:r>
          </w:p>
        </w:tc>
      </w:tr>
    </w:tbl>
    <w:p>
      <w:pPr>
        <w:spacing w:line="240" w:lineRule="auto"/>
        <w:rPr>
          <w:rFonts w:ascii="Times New Roman" w:hAnsi="Times New Roman" w:cs="Times New Roman" w:eastAsiaTheme="majorEastAsia"/>
          <w:color w:val="auto"/>
          <w:sz w:val="28"/>
          <w:szCs w:val="28"/>
        </w:rPr>
      </w:pPr>
    </w:p>
    <w:p>
      <w:pPr>
        <w:spacing w:line="240" w:lineRule="auto"/>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（2）加强城镇生活污染防控</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加快城镇污水处理设施建设与改造。</w:t>
      </w:r>
      <w:r>
        <w:rPr>
          <w:rFonts w:ascii="Times New Roman" w:hAnsi="Times New Roman" w:cs="Times New Roman" w:eastAsiaTheme="majorEastAsia"/>
          <w:color w:val="auto"/>
          <w:sz w:val="28"/>
          <w:szCs w:val="28"/>
        </w:rPr>
        <w:t>积极推进现有污水处理厂脱氮、脱磷技术改造，实现稳定达标排放。提标改造防城港市污水处理厂和东兴市污水处理厂，至2017年，实现污水处理设施全面达到一级A排放标准。加快沿江、沿海城镇生活污水处理设施建设，至2020年，推进建成《防城港市水污染防治行动计划工作方案》中有关沿海流域地区城镇污水处理设施项目。</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加强配套管网建设。</w:t>
      </w:r>
      <w:r>
        <w:rPr>
          <w:rFonts w:ascii="Times New Roman" w:hAnsi="Times New Roman" w:cs="Times New Roman" w:eastAsiaTheme="majorEastAsia"/>
          <w:color w:val="auto"/>
          <w:sz w:val="28"/>
          <w:szCs w:val="28"/>
        </w:rPr>
        <w:t>与道路、城镇规划协调实施，完善雨污分流系统，提高污水集中收集处理率。至2020年，实现县城污水处理率总体达到85%，城市污水处理率达到95%，“十三五”期间城市、县城污水处理率年增长率不低于2%。</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推进固体废弃物处理处置。</w:t>
      </w:r>
      <w:r>
        <w:rPr>
          <w:rFonts w:ascii="Times New Roman" w:hAnsi="Times New Roman" w:cs="Times New Roman" w:eastAsiaTheme="majorEastAsia"/>
          <w:color w:val="auto"/>
          <w:sz w:val="28"/>
          <w:szCs w:val="28"/>
        </w:rPr>
        <w:t>加快建立合理的生活垃圾收运、处理处置体系，统筹城乡生活垃圾处理与管理。积极探索基于生物技术的污染治理新工艺，鼓励污水再生利用及污泥无害化综合利用。至2018年底，实现污水处理设施产生的污泥的资源化利用。至2020年，实现城市污泥无害化处理处置率达到90%以上。</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（3）强化工业企业管理与污染控制</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推行沿海工业企业节能减排。</w:t>
      </w:r>
      <w:r>
        <w:rPr>
          <w:rFonts w:ascii="Times New Roman" w:hAnsi="Times New Roman" w:cs="Times New Roman" w:eastAsiaTheme="majorEastAsia"/>
          <w:color w:val="auto"/>
          <w:sz w:val="28"/>
          <w:szCs w:val="28"/>
        </w:rPr>
        <w:t>全面排查装备水平低、环保设施差的小型工业企业。取缔不符合产业政策的小型造纸、炼焦、炼油、电镀、农药等严重污染水环境的生产项目。对造纸、焦化、有色金属、农副食品加工、原料药制造、农药、电镀等行业实行专项治理，进行清洁化改造。</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强化工业园区污染集中治理。</w:t>
      </w:r>
      <w:r>
        <w:rPr>
          <w:rFonts w:ascii="Times New Roman" w:hAnsi="Times New Roman" w:cs="Times New Roman" w:eastAsiaTheme="majorEastAsia"/>
          <w:color w:val="auto"/>
          <w:sz w:val="28"/>
          <w:szCs w:val="28"/>
        </w:rPr>
        <w:t>实施工业园区废水集中处理，新建、升级工业集聚应同步规划、建设污水、垃圾集中处理等污染治理设施。至2017年，完成企沙工业区、大西南临港工业园（含东湾物流加工园区）、防城区工业园区、江平工业园等4个工业集聚区污水集中处理设施建设，并安装自动在线监控装置。</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（4）增强流域农业污染防治</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控制农业面源污染。</w:t>
      </w:r>
      <w:r>
        <w:rPr>
          <w:rFonts w:ascii="Times New Roman" w:hAnsi="Times New Roman" w:cs="Times New Roman" w:eastAsiaTheme="majorEastAsia"/>
          <w:color w:val="auto"/>
          <w:sz w:val="28"/>
          <w:szCs w:val="28"/>
        </w:rPr>
        <w:t>制定实施全市农业面源污染综合防治方案，推进科学用药、绿色防控、统防统治和植物疫情监控。大力推广测土配方施肥、保护性耕作、节水灌溉、精准施肥等农业生产技术，推广“养殖-沼气-种植”生态农业模式，促进生态农业发展。</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加强畜禽污染控制。</w:t>
      </w:r>
      <w:r>
        <w:rPr>
          <w:rFonts w:ascii="Times New Roman" w:hAnsi="Times New Roman" w:cs="Times New Roman" w:eastAsiaTheme="majorEastAsia"/>
          <w:color w:val="auto"/>
          <w:sz w:val="28"/>
          <w:szCs w:val="28"/>
        </w:rPr>
        <w:t>加强监督管理，全面完成“十三五”全市规模化畜禽养殖减排项目的污染防治工作。落实畜牧业发展规划，科学划定畜禽、水产养殖禁养区。新建、改建、扩建规模畜禽养殖场（小区）要实施雨污分离、粪便污水资源化利用。推广标准化生态化养殖方式，鼓励扶持种植企业和养殖企业开展有机肥还田合作。</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（5）推行水产养殖污染防治</w:t>
      </w:r>
    </w:p>
    <w:p>
      <w:pPr>
        <w:ind w:firstLine="560" w:firstLineChars="200"/>
        <w:rPr>
          <w:rFonts w:ascii="Times New Roman" w:hAnsi="Times New Roman" w:cs="Times New Roman" w:eastAsiaTheme="majorEastAsia"/>
          <w:bCs/>
          <w:color w:val="auto"/>
          <w:sz w:val="28"/>
          <w:szCs w:val="28"/>
        </w:rPr>
      </w:pPr>
      <w:r>
        <w:rPr>
          <w:rFonts w:ascii="Times New Roman" w:hAnsi="Times New Roman" w:cs="Times New Roman" w:eastAsiaTheme="majorEastAsia"/>
          <w:color w:val="auto"/>
          <w:sz w:val="28"/>
          <w:szCs w:val="28"/>
        </w:rPr>
        <w:t>完善并实施养殖水域滩涂规划，合理调整养殖布局。</w:t>
      </w:r>
      <w:r>
        <w:rPr>
          <w:rFonts w:ascii="Times New Roman" w:hAnsi="Times New Roman" w:cs="Times New Roman" w:eastAsiaTheme="majorEastAsia"/>
          <w:bCs/>
          <w:color w:val="auto"/>
          <w:sz w:val="28"/>
          <w:szCs w:val="28"/>
        </w:rPr>
        <w:t>加快养殖池塘标准化建设和近海网箱设施改造，大力发展陆基工厂化循环水养殖、离岸深水海域抗风浪网箱养殖等设施渔业，推广名特优品种高效养殖、节能减排和生态养殖技术。</w:t>
      </w:r>
      <w:r>
        <w:rPr>
          <w:rFonts w:ascii="Times New Roman" w:hAnsi="Times New Roman" w:cs="Times New Roman" w:eastAsiaTheme="majorEastAsia"/>
          <w:color w:val="auto"/>
          <w:sz w:val="28"/>
          <w:szCs w:val="28"/>
        </w:rPr>
        <w:t>应用推广高效安全复合饲料，严格控制养殖投饵量，合理处置养殖池塘淤泥。</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（6）落实船舶、港口污染防治</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贯彻落实交通运输部《老旧运输船舶和单壳油轮提前报废更新实施方案》，依法强制报废超过使用年限的船舶，鼓励研发和新建符合国际新规范、新标准的节能安全环保船舶，加快LNG等清洁能源在水运行业的应用，促进船舶向大型化、专业化、智能化方向发展。船舶生活污水或含油污水须经自备的处理设施或有资质的专业机构接收处理，不得在港内排放，</w:t>
      </w:r>
      <w:r>
        <w:rPr>
          <w:rFonts w:ascii="Times New Roman" w:cs="Times New Roman" w:hAnsiTheme="minorHAnsi" w:eastAsiaTheme="minorEastAsia"/>
          <w:color w:val="auto"/>
          <w:sz w:val="28"/>
          <w:szCs w:val="28"/>
        </w:rPr>
        <w:t>航行于我市水域的国际航线船舶，要实施压载水交换或安装压载水灭活处理系统。</w:t>
      </w:r>
      <w:r>
        <w:rPr>
          <w:rFonts w:ascii="Times New Roman" w:hAnsi="Times New Roman" w:cs="Times New Roman" w:eastAsiaTheme="majorEastAsia"/>
          <w:color w:val="auto"/>
          <w:sz w:val="28"/>
          <w:szCs w:val="28"/>
        </w:rPr>
        <w:t>加强散货码头粉尘治理，建立码头清洗制度，完善港区垃圾、废水、废油的回收和处理工作。至2020年，在渔澫港区和企沙港区各建 1 座专业的油污水处理、及洗箱污水处理厂，科学处理含油污水；在渔澫港区内设置生活污水处理站，其余港区建设生活污水管网，汇入污水处理厂统一处理。分类收集港区有毒液体废水，进行无害化处理。科学合理设置港区污水的入海排污口。</w:t>
      </w:r>
    </w:p>
    <w:p>
      <w:pPr>
        <w:pStyle w:val="59"/>
        <w:spacing w:before="0" w:after="0" w:line="240" w:lineRule="auto"/>
        <w:ind w:firstLineChars="0"/>
        <w:rPr>
          <w:rFonts w:eastAsiaTheme="majorEastAsia"/>
          <w:color w:val="auto"/>
        </w:rPr>
      </w:pPr>
      <w:r>
        <w:rPr>
          <w:rFonts w:eastAsiaTheme="majorEastAsia"/>
          <w:color w:val="auto"/>
        </w:rPr>
        <w:t>2. 海域海岸线综合整治类任务</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（1）实施“蓝色海湾”治理行动</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全面落实《近岸海域（流域）环境保护目标责任书》，强化“河长”制度管理和考核。实施近岸海域污染防治方案，重点整治防城港东湾、西湾、江平江和北仑河口东北岸等河口海湾污染。进一步开展西湾北部防城江入海口区域的清淤疏浚，拓宽海域水道，改善水动力条件。制定入海河流和入海排污口整治方案，重点开展北仑河、防城江等入海河流以及入海排污口的环境综合整治。至2017年，全面清理非法或设置不合理的入海排污口。至2020年，沿海入海河流全部消除劣Ⅴ类水体。</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（2）开展“银色海滩”整治工程</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根据自治区“美丽广西”及防城港市“美丽家园”乡村建设活动对“生态乡村”阶段活动的工作要求，深入推进全市“美丽海洋”创建工程，重点在金滩、江山半岛、西湾等重点滨海旅游区实施清理海滩垃圾、拆除不合理建筑、建设生态浴场、修复和养护人工沙滩、退养还滩还海等工程，建设优美滨海景观，打造生态型海岸。定期对海域环境进行巡查并实施工作考核。近期继续执行《防城港西湾海域清洁长效管理机制实施方案》，由市财政安排年度工作经费，相关部门组织环西湾岸线的日常清洁管理，力保西湾海域垃圾长期处于低水平状态和无影响景观状况。对港口区山新受损岸段实施海岸防护、植被修复、清淤等整治修复，防止岸线侵蚀，助推大东沙生态旅游发展。</w:t>
      </w:r>
    </w:p>
    <w:p>
      <w:pPr>
        <w:pStyle w:val="59"/>
        <w:spacing w:before="0" w:after="0" w:line="240" w:lineRule="auto"/>
        <w:ind w:firstLineChars="0"/>
        <w:rPr>
          <w:rFonts w:eastAsiaTheme="majorEastAsia"/>
          <w:color w:val="auto"/>
        </w:rPr>
      </w:pPr>
      <w:r>
        <w:rPr>
          <w:rFonts w:eastAsiaTheme="majorEastAsia"/>
          <w:color w:val="auto"/>
        </w:rPr>
        <w:t>3. 生态保护与修复类任务</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（1）推进海洋生态红线控制管理</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实施海洋生态红线制度，按照“保住生态底线，兼顾发展需求”原则，将重要、敏感、脆弱海洋生态系统纳入海洋生态红线区管控范围并实施强制保护和严格管控。至2020年，确保防城港市海洋生态红线区面积不低于35%，大陆自然岸线保有率不低于35%，海岛自然岸线保有率不低于85%。</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（2）强化海洋保护区建设与管理</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制定全市海洋保护区总体规划和管理制度，定期评估实施效果。加强已有海洋保护区的基础设施建设，提升执法能力和专业技能。至</w:t>
      </w:r>
      <w:r>
        <w:rPr>
          <w:rFonts w:ascii="Times New Roman" w:hAnsi="Times New Roman" w:cs="Times New Roman" w:eastAsiaTheme="majorEastAsia"/>
          <w:color w:val="auto"/>
          <w:sz w:val="28"/>
          <w:szCs w:val="28"/>
        </w:rPr>
        <w:t>2020年，加强北仑河口保护区能力建设，实施退化红树林生态修复与</w:t>
      </w:r>
      <w:r>
        <w:rPr>
          <w:rFonts w:hint="eastAsia" w:ascii="Times New Roman" w:hAnsi="Times New Roman" w:cs="Times New Roman" w:eastAsiaTheme="majorEastAsia"/>
          <w:color w:val="auto"/>
          <w:sz w:val="28"/>
          <w:szCs w:val="28"/>
        </w:rPr>
        <w:t>宣教设施</w:t>
      </w:r>
      <w:r>
        <w:rPr>
          <w:rFonts w:ascii="Times New Roman" w:hAnsi="Times New Roman" w:cs="Times New Roman" w:eastAsiaTheme="majorEastAsia"/>
          <w:color w:val="auto"/>
          <w:sz w:val="28"/>
          <w:szCs w:val="28"/>
        </w:rPr>
        <w:t>优化工程，推进建成</w:t>
      </w:r>
      <w:r>
        <w:rPr>
          <w:rFonts w:hint="eastAsia" w:ascii="Times New Roman" w:hAnsi="Times New Roman" w:cs="Times New Roman" w:eastAsiaTheme="majorEastAsia"/>
          <w:color w:val="auto"/>
          <w:sz w:val="28"/>
          <w:szCs w:val="28"/>
        </w:rPr>
        <w:t>珍珠湾科普教育示范基地建设</w:t>
      </w:r>
      <w:r>
        <w:rPr>
          <w:rFonts w:ascii="Times New Roman" w:hAnsi="Times New Roman" w:cs="Times New Roman" w:eastAsiaTheme="majorEastAsia"/>
          <w:color w:val="auto"/>
          <w:sz w:val="28"/>
          <w:szCs w:val="28"/>
        </w:rPr>
        <w:t>；筹划建设西湾国家海洋公园，防城港东湾红树林海洋特别保护区、协助建设广西近海南部海洋特别保护区，完善海洋保护区网络体系，实现各类海洋保护区域占全市近岸海域面积（海洋功能区划面积2210平方千米）达11%以上。加强有居民海岛的保护和开发管理，推进无居民海岛保护区建设。</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（3）实施典型海洋生境保护与修复</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加强红树林修复及虫害防治。</w:t>
      </w:r>
      <w:r>
        <w:rPr>
          <w:rFonts w:ascii="Times New Roman" w:hAnsi="Times New Roman" w:cs="Times New Roman" w:eastAsiaTheme="majorEastAsia"/>
          <w:color w:val="auto"/>
          <w:sz w:val="28"/>
          <w:szCs w:val="28"/>
        </w:rPr>
        <w:t>落实国家和自治区对防城港市“南红北柳”生态修复工程的工作部署，开展“广西防城港市红树林生态修复示范工程”，力争至2020年，</w:t>
      </w:r>
      <w:r>
        <w:rPr>
          <w:rFonts w:ascii="Times New Roman" w:hAnsi="Times New Roman" w:cs="Times New Roman" w:eastAsiaTheme="majorEastAsia"/>
          <w:color w:val="auto"/>
          <w:sz w:val="28"/>
          <w:szCs w:val="28"/>
        </w:rPr>
        <w:t>北仑河口保护区新增红树林约0.3平方千米。</w:t>
      </w:r>
      <w:r>
        <w:rPr>
          <w:rFonts w:ascii="Times New Roman" w:hAnsi="Times New Roman" w:cs="Times New Roman" w:eastAsiaTheme="majorEastAsia"/>
          <w:color w:val="auto"/>
          <w:sz w:val="28"/>
          <w:szCs w:val="28"/>
        </w:rPr>
        <w:t>进一步加大对红树林虫害的监测力度，建立多部门联动防控机制，联合林业、农业等部门制定可行的防治办法，共同做好红树林虫害监测、防治工作。</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实施珊瑚生态保护与修复。</w:t>
      </w:r>
      <w:r>
        <w:rPr>
          <w:rFonts w:ascii="Times New Roman" w:hAnsi="Times New Roman" w:cs="Times New Roman" w:eastAsiaTheme="majorEastAsia"/>
          <w:color w:val="auto"/>
          <w:sz w:val="28"/>
          <w:szCs w:val="28"/>
        </w:rPr>
        <w:t>加强白龙尾海域珊瑚资源的保护及海洋环境监管，推动实施人工鱼礁区的珊瑚人工种植，开展集珊瑚生态修复技术、特色资源生物增殖放流技术、有害生物防控技术为一体的集成创新和示范。</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开展滨海植被修复。</w:t>
      </w:r>
      <w:r>
        <w:rPr>
          <w:rFonts w:ascii="Times New Roman" w:hAnsi="Times New Roman" w:cs="Times New Roman" w:eastAsiaTheme="majorEastAsia"/>
          <w:color w:val="auto"/>
          <w:sz w:val="28"/>
          <w:szCs w:val="28"/>
        </w:rPr>
        <w:t>抓紧落实沿海防护林体系建设三期工程规划，进一步完善全市沿海防护林体系，使市内海岸线林带完全合拢，开展低效基干林带修复，提高海岸基干林带的林分质量和防护效能。至2020年，</w:t>
      </w:r>
      <w:r>
        <w:rPr>
          <w:rFonts w:ascii="Times New Roman" w:hAnsi="Times New Roman" w:cs="Times New Roman" w:eastAsiaTheme="majorEastAsia"/>
          <w:bCs/>
          <w:color w:val="auto"/>
          <w:sz w:val="28"/>
          <w:szCs w:val="28"/>
        </w:rPr>
        <w:t>修复沿海基干林带50千米。</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（4）推进“生态岛礁”修复工程</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推进实施《防城港市海岛保护规划（2012-2020）》，开展红沙蛇岭、大山佬岛、生牛朴沿岸海岛的整治修复工程。加快拆除长榄岛北部人工海堤，推动开展山心沙岛生态修复工程，改善海岛岸线生态环境及景观。</w:t>
      </w:r>
    </w:p>
    <w:p>
      <w:pPr>
        <w:pStyle w:val="59"/>
        <w:spacing w:before="0" w:after="0" w:line="240" w:lineRule="auto"/>
        <w:ind w:firstLineChars="0"/>
        <w:rPr>
          <w:rFonts w:eastAsiaTheme="majorEastAsia"/>
          <w:color w:val="auto"/>
        </w:rPr>
      </w:pPr>
      <w:r>
        <w:rPr>
          <w:rFonts w:eastAsiaTheme="majorEastAsia"/>
          <w:color w:val="auto"/>
        </w:rPr>
        <w:t>4. 资源可持续利用类任务</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（1）规范海域岸线使用</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正确引导海岸带开发利用活动，加强海岸带生态保护工作。合理利用海岸线，加强陆海生态过渡带建设，规范海岸采矿采砂活动，避免盲目扩张占用滨海湿地和岸线资源，禁止各类破坏红树林、海草床、沿海防护林及挤占海岸线的行为。</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（2）加强渔业资源养护</w:t>
      </w:r>
    </w:p>
    <w:p>
      <w:pPr>
        <w:ind w:firstLine="562" w:firstLineChars="200"/>
        <w:rPr>
          <w:rFonts w:ascii="Times New Roman" w:hAnsi="Times New Roman" w:cs="Times New Roman" w:eastAsiaTheme="majorEastAsia"/>
          <w:bCs/>
          <w:color w:val="auto"/>
          <w:sz w:val="28"/>
          <w:szCs w:val="28"/>
        </w:rPr>
      </w:pPr>
      <w:r>
        <w:rPr>
          <w:rFonts w:ascii="Times New Roman" w:hAnsi="Times New Roman" w:cs="Times New Roman" w:eastAsiaTheme="majorEastAsia"/>
          <w:b/>
          <w:bCs/>
          <w:color w:val="auto"/>
          <w:sz w:val="28"/>
          <w:szCs w:val="28"/>
        </w:rPr>
        <w:t>严格控制近海捕捞强度。</w:t>
      </w:r>
      <w:r>
        <w:rPr>
          <w:rFonts w:ascii="Times New Roman" w:hAnsi="Times New Roman" w:cs="Times New Roman" w:eastAsiaTheme="majorEastAsia"/>
          <w:bCs/>
          <w:color w:val="auto"/>
          <w:sz w:val="28"/>
          <w:szCs w:val="28"/>
        </w:rPr>
        <w:t>全力保障南海伏季休渔制度，</w:t>
      </w:r>
      <w:r>
        <w:rPr>
          <w:rFonts w:ascii="Times New Roman" w:hAnsi="Times New Roman" w:cs="Times New Roman" w:eastAsiaTheme="majorEastAsia"/>
          <w:color w:val="auto"/>
          <w:sz w:val="28"/>
          <w:szCs w:val="28"/>
        </w:rPr>
        <w:t>继续执行海洋捕捞“双控”及捕捞量负增长政策，</w:t>
      </w:r>
      <w:r>
        <w:rPr>
          <w:rFonts w:ascii="Times New Roman" w:hAnsi="Times New Roman" w:cs="Times New Roman" w:eastAsiaTheme="majorEastAsia"/>
          <w:bCs/>
          <w:color w:val="auto"/>
          <w:sz w:val="28"/>
          <w:szCs w:val="28"/>
        </w:rPr>
        <w:t>严格实施《打击电炸毒鱼等破坏海洋渔业资源专项整治行动工作方案》，严厉打击整顿非法捕捞行为，确保渔区稳定与渔业可持续发展。</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加大增殖放流和人工鱼礁建设。</w:t>
      </w:r>
      <w:r>
        <w:rPr>
          <w:rFonts w:ascii="Times New Roman" w:hAnsi="Times New Roman" w:cs="Times New Roman" w:eastAsiaTheme="majorEastAsia"/>
          <w:color w:val="auto"/>
          <w:sz w:val="28"/>
          <w:szCs w:val="28"/>
        </w:rPr>
        <w:t>加强对日本对虾、长毛对虾、斑节对虾、红鳍笛鲷、紫红笛鲷、真鲷、卵形鲳鲹、青蟹和华贵栉孔扇贝等苗种的增殖放流力度。至2020年，在白龙珍珠湾海域建成国家级现代海洋牧场示范区，投放人工鱼礁15万空立方米以上，年增殖放流渔业苗种达1亿尾以上。</w:t>
      </w:r>
    </w:p>
    <w:p>
      <w:pPr>
        <w:pStyle w:val="59"/>
        <w:spacing w:before="0" w:after="0" w:line="240" w:lineRule="auto"/>
        <w:ind w:firstLineChars="0"/>
        <w:rPr>
          <w:rFonts w:eastAsiaTheme="majorEastAsia"/>
          <w:color w:val="auto"/>
        </w:rPr>
      </w:pPr>
      <w:r>
        <w:rPr>
          <w:rFonts w:eastAsiaTheme="majorEastAsia"/>
          <w:color w:val="auto"/>
        </w:rPr>
        <w:t>5. 环境监管能力建设类任务</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（1）加强海洋环境监测能力建设</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强化海洋监测队伍建设，充实海洋环境监测队伍，提高科技人员的综合素质，配备完善的海洋环境监测设备。要加快现有海洋环境监测部门的建设，采取措施尽快扭转海洋环境监测手段不足、监测仪器设备落后的局面，提高海洋环境监测的现代化水平，使海洋环境监测适应全市海洋环境保护的需要。</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（2）完善海域监测监视网络体系</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积极落实陆海统筹、部门联动的海洋环境保护协同机制，进一步实现监测技术对接、监测平台及监测数据共享。集结国家、自治区和本市三级投入力度，形成站位布局合理、监测指标完备、站位规模达87个的海洋监测网络格局。完善视频监控网点布设，重点加强主要海洋工程区、环境敏感区、市政及工业园区排污口的可视化监控管理。加强重点区域的在线监测站点建设，增设西湾、东湾、红沙、北仑河口、金滩等6个海洋自动监测浮标站，构建基本完善的近岸海洋自动监测观测体系。加密对核电、钢铁、石化等产业影响海域的环境监测站位和频率，有效监测有害物质水平动态变化，及时评估和预警。至2020年，建成企沙海洋环境监测站，设立海洋放射性及重金属监测实验室，充实核应急监测防护器材库装备。</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（3）健全海洋灾害防控及应急体系</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加强沿海工业企业风险防范。</w:t>
      </w:r>
      <w:r>
        <w:rPr>
          <w:rFonts w:ascii="Times New Roman" w:hAnsi="Times New Roman" w:cs="Times New Roman" w:eastAsiaTheme="majorEastAsia"/>
          <w:color w:val="auto"/>
          <w:sz w:val="28"/>
          <w:szCs w:val="28"/>
        </w:rPr>
        <w:t>把海洋灾害风险防范纳入沿海工业企业日常环境管理中，从质量标准制定、项目审批、过程控制、竣工验收等环节建立环境风险防范制度，切实落实环境安全主体责任，强化环境应急管理。建立沿海地区风险源数据库，定期排查沿海工业开发区及石油、化工、钢铁等重点污染企业，消除灾害隐患。</w:t>
      </w:r>
    </w:p>
    <w:p>
      <w:pPr>
        <w:ind w:firstLine="562"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b/>
          <w:color w:val="auto"/>
          <w:sz w:val="28"/>
          <w:szCs w:val="28"/>
        </w:rPr>
        <w:t>完善海洋灾害应急响应体系。</w:t>
      </w:r>
      <w:r>
        <w:rPr>
          <w:rFonts w:ascii="Times New Roman" w:hAnsi="Times New Roman" w:cs="Times New Roman" w:eastAsiaTheme="majorEastAsia"/>
          <w:color w:val="auto"/>
          <w:sz w:val="28"/>
          <w:szCs w:val="28"/>
        </w:rPr>
        <w:t>逐步加大沿海专业应急队伍和应急设备库建设力度，至2020年实现配备中小型溢油应急设备库。完善海洋环境防灾减灾应急预案，定期开展赤潮、风暴潮、海啸、海上溢油、核事故等灾害的应急演练。完善部门联动应急响应管理机制，加强与钦州市建立海洋灾害应急合作机制。深入开展海洋灾害应急体系建设，抓好信息发布平台建设，推进群防应急系统试点建设。</w:t>
      </w:r>
    </w:p>
    <w:p>
      <w:pPr>
        <w:ind w:firstLine="562" w:firstLineChars="200"/>
        <w:rPr>
          <w:rFonts w:ascii="Times New Roman" w:hAnsi="Times New Roman" w:cs="Times New Roman" w:eastAsiaTheme="majorEastAsia"/>
          <w:b/>
          <w:color w:val="auto"/>
          <w:sz w:val="28"/>
          <w:szCs w:val="28"/>
        </w:rPr>
      </w:pPr>
      <w:r>
        <w:rPr>
          <w:rFonts w:ascii="Times New Roman" w:hAnsi="Times New Roman" w:cs="Times New Roman" w:eastAsiaTheme="majorEastAsia"/>
          <w:b/>
          <w:color w:val="auto"/>
          <w:sz w:val="28"/>
          <w:szCs w:val="28"/>
        </w:rPr>
        <w:t>（4）强化海洋环境保护综合执法力度</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逐步建立完备的海洋环境执法监督体系，加强海监、环境监察、海事、渔政、森林警察等各部门环境执法队伍建设，完善执法保障装备，提升执法能力，切实做到违法必究、执法必严。强化海上综合执法，加强对重大环境风险源的监管，严格查处各类涉海违规违法行为，重点打击非法用海用岛、非法盗采海砂、非法排污和倾废等。</w:t>
      </w:r>
    </w:p>
    <w:p>
      <w:pPr>
        <w:ind w:firstLine="560" w:firstLineChars="200"/>
        <w:rPr>
          <w:rFonts w:ascii="Times New Roman" w:hAnsi="Times New Roman" w:cs="Times New Roman" w:eastAsiaTheme="majorEastAsia"/>
          <w:color w:val="auto"/>
          <w:sz w:val="28"/>
          <w:szCs w:val="28"/>
        </w:rPr>
      </w:pPr>
    </w:p>
    <w:p>
      <w:pPr>
        <w:widowControl/>
        <w:tabs>
          <w:tab w:val="clear" w:pos="750"/>
        </w:tabs>
        <w:spacing w:line="240" w:lineRule="auto"/>
        <w:jc w:val="left"/>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br w:type="page"/>
      </w:r>
    </w:p>
    <w:p>
      <w:pPr>
        <w:pStyle w:val="2"/>
        <w:tabs>
          <w:tab w:val="clear" w:pos="750"/>
        </w:tabs>
        <w:spacing w:before="320" w:after="320" w:line="360" w:lineRule="auto"/>
        <w:jc w:val="center"/>
        <w:rPr>
          <w:rFonts w:ascii="Times New Roman" w:hAnsi="Times New Roman" w:eastAsiaTheme="majorEastAsia"/>
          <w:color w:val="auto"/>
          <w:sz w:val="44"/>
        </w:rPr>
      </w:pPr>
      <w:bookmarkStart w:id="29" w:name="_Toc441676969"/>
      <w:r>
        <w:rPr>
          <w:rFonts w:ascii="Times New Roman" w:hAnsi="Times New Roman" w:eastAsiaTheme="majorEastAsia"/>
          <w:color w:val="auto"/>
          <w:sz w:val="44"/>
        </w:rPr>
        <w:t>第四章 规划实施的保障措施</w:t>
      </w:r>
      <w:bookmarkEnd w:id="29"/>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30" w:name="_Toc441676970"/>
      <w:r>
        <w:rPr>
          <w:rFonts w:ascii="Times New Roman" w:hAnsi="Times New Roman" w:eastAsiaTheme="majorEastAsia"/>
          <w:bCs/>
          <w:color w:val="auto"/>
          <w:sz w:val="32"/>
          <w:szCs w:val="32"/>
        </w:rPr>
        <w:t>（一）加强制度建设，完善监督考核</w:t>
      </w:r>
      <w:bookmarkEnd w:id="30"/>
    </w:p>
    <w:p>
      <w:pPr>
        <w:ind w:firstLine="3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18"/>
          <w:szCs w:val="18"/>
        </w:rPr>
        <w:t>　</w:t>
      </w:r>
      <w:r>
        <w:rPr>
          <w:rFonts w:ascii="Times New Roman" w:hAnsi="Times New Roman" w:cs="Times New Roman" w:eastAsiaTheme="majorEastAsia"/>
          <w:color w:val="auto"/>
          <w:sz w:val="28"/>
          <w:szCs w:val="28"/>
        </w:rPr>
        <w:t>认真贯彻实施《中华人民共和国海洋环境保护法》、《中华人民共和国海域使用管理法》、《中华人民共和国渔业法》、《广西壮族自治区海洋环境保护条例》等有关法律法规，相应制定本市海洋环境保护与海域使用相关管理规定，依法依规行政，严格海洋环评和审批，促进有序、有度、有偿地开发使用海域，推动全市经济绿色发展。</w:t>
      </w:r>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加强环境保护、陆海统筹、溯源追究、区域协调管理的体制机制建设。强化“河长制”落实和监督考核，保障陆海统筹，解决陆源污染、跨界污染问题；建立完善流域性的生态补偿和生态损害赔偿机制，实现不同地区、不同利益群体的和谐共同发展。建立重点海湾污染物排放总量控制和核查制度；完善海洋、海岸工程以及涉海区域开发环境影响评价配套制度建设；完善临海或涉海工业企业环境准入制度，制定不同行业工业用海、排污控制指标，统一执行污水排海处置标准规范。</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31" w:name="_Toc441676971"/>
      <w:r>
        <w:rPr>
          <w:rFonts w:ascii="Times New Roman" w:hAnsi="Times New Roman" w:eastAsiaTheme="majorEastAsia"/>
          <w:bCs/>
          <w:color w:val="auto"/>
          <w:sz w:val="32"/>
          <w:szCs w:val="32"/>
        </w:rPr>
        <w:t>（二）落实陆海统筹，强化综合管控</w:t>
      </w:r>
      <w:bookmarkEnd w:id="31"/>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建立跨行政区域、跨部门的海洋环境保护协调机构，海陆统筹的海洋污染防治与生态保护工作机构和联合督查机制。落实跨行政区域、跨部门的海洋环境管理联席会议制度，建立环保信息通报、污染事故处理以及环保联合执法等工作机制，解决区域或相邻海域的海洋环境保护等重大问题。建立权责明确的环境监督执法体系，健全海上联合执法和巡航监视制度，明确各部门的监督检查对象和工作重点，赋予海洋环境管理部门必要的强制执法手段。</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32" w:name="_Toc441676972"/>
      <w:r>
        <w:rPr>
          <w:rFonts w:ascii="Times New Roman" w:hAnsi="Times New Roman" w:eastAsiaTheme="majorEastAsia"/>
          <w:bCs/>
          <w:color w:val="auto"/>
          <w:sz w:val="32"/>
          <w:szCs w:val="32"/>
        </w:rPr>
        <w:t>（三）加强宣传教育，调动全民参与</w:t>
      </w:r>
      <w:bookmarkEnd w:id="32"/>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党的十八大把建设生态文明提到中国特色社会主义“五位一体”总体布局的战略高度，这要求全市人民建立起符合生态文明要求的思维、生产和生活方式，树立海洋环境保护人人有责的意识。要把绿色发展的理念、方法和措施编写入教材，全覆盖培训全市各级干部；政府及各级部门结合每年的“世界地球日”、“世界海洋日”、“世界环境日”等的主题，组织全市在校学生、干部群众和环保志愿者等，开展形式多样的海洋生态文明宣传工作，鼓励公众积极监督和参与海洋环境保护工作，提高全民海洋环保意识和参与意识。</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33" w:name="_Toc441676973"/>
      <w:r>
        <w:rPr>
          <w:rFonts w:ascii="Times New Roman" w:hAnsi="Times New Roman" w:eastAsiaTheme="majorEastAsia"/>
          <w:bCs/>
          <w:color w:val="auto"/>
          <w:sz w:val="32"/>
          <w:szCs w:val="32"/>
        </w:rPr>
        <w:t>（四）坚持内引外联，夯实科技支撑</w:t>
      </w:r>
      <w:bookmarkEnd w:id="33"/>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综合利用市内外科学和技术研究机构，积极开展防城港市海洋环境关键性、基础性科学问题研究，加大相关学科的研究力度，推动海洋环境保护事业的科技进步，为海洋生态系统的保护和可持续利用提供更有力的科技支撑。近期应着重研究和解决海洋环境与生态灾害监测、监视、预报、预警技术、污染源有效控制和污染物高效去除技术、清洁生产技术、海域环境容量与环境质量调控技术、典型生态功能区退化过程机理与沿海受损生态系统修复技术、海洋环境承载力评价等重大科学技术问题。</w:t>
      </w:r>
    </w:p>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34" w:name="_Toc441676974"/>
      <w:r>
        <w:rPr>
          <w:rFonts w:ascii="Times New Roman" w:hAnsi="Times New Roman" w:eastAsiaTheme="majorEastAsia"/>
          <w:bCs/>
          <w:color w:val="auto"/>
          <w:sz w:val="32"/>
          <w:szCs w:val="32"/>
        </w:rPr>
        <w:t>（五）创新体制机制，扩大投入途径</w:t>
      </w:r>
      <w:bookmarkEnd w:id="34"/>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改革创新体制机制，促进环保投入的财政资金与社会资本相结合。各级人民政府将流域—海域环境整治工作纳入年度地方经济社会发展计划，整治经费纳入各级财政预算。市发改、财政、住建、海洋、环保、农业、林业、水产畜牧，以及防城港海事等部门要统筹各类专项资金支持海洋环境整治工作。积极落实《广西生态经济发展规划（2015—2020年）》，引导企业自愿自觉进行循环化、生态化建设及改造，凡符合《广西壮族自治区发展生态经济鼓励类指导目录》的，除享受既有优惠政策外，还可以享受财税金融、投资政策、价格政策、土地政策、产业政策、运营监管、技术研发等创新政策支持。</w:t>
      </w:r>
      <w:bookmarkStart w:id="35" w:name="_Toc150310735"/>
      <w:bookmarkStart w:id="36" w:name="_Toc125510318"/>
    </w:p>
    <w:bookmarkEnd w:id="35"/>
    <w:bookmarkEnd w:id="36"/>
    <w:p>
      <w:pPr>
        <w:pStyle w:val="3"/>
        <w:keepLines/>
        <w:tabs>
          <w:tab w:val="clear" w:pos="750"/>
        </w:tabs>
        <w:spacing w:before="120" w:after="120" w:line="360" w:lineRule="auto"/>
        <w:ind w:firstLine="565" w:firstLineChars="176"/>
        <w:rPr>
          <w:rFonts w:ascii="Times New Roman" w:hAnsi="Times New Roman" w:eastAsiaTheme="majorEastAsia"/>
          <w:bCs/>
          <w:color w:val="auto"/>
          <w:sz w:val="32"/>
          <w:szCs w:val="32"/>
        </w:rPr>
      </w:pPr>
      <w:bookmarkStart w:id="37" w:name="_Toc441676975"/>
      <w:r>
        <w:rPr>
          <w:rFonts w:ascii="Times New Roman" w:hAnsi="Times New Roman" w:eastAsiaTheme="majorEastAsia"/>
          <w:bCs/>
          <w:color w:val="auto"/>
          <w:sz w:val="32"/>
          <w:szCs w:val="32"/>
        </w:rPr>
        <w:t>（六）深化交流合作，提升海洋环保能力</w:t>
      </w:r>
      <w:bookmarkEnd w:id="37"/>
    </w:p>
    <w:p>
      <w:pPr>
        <w:ind w:firstLine="560" w:firstLineChars="200"/>
        <w:rPr>
          <w:rFonts w:ascii="Times New Roman" w:hAnsi="Times New Roman" w:cs="Times New Roman" w:eastAsiaTheme="majorEastAsia"/>
          <w:color w:val="auto"/>
          <w:sz w:val="28"/>
          <w:szCs w:val="28"/>
        </w:rPr>
      </w:pPr>
      <w:r>
        <w:rPr>
          <w:rFonts w:ascii="Times New Roman" w:hAnsi="Times New Roman" w:cs="Times New Roman" w:eastAsiaTheme="majorEastAsia"/>
          <w:color w:val="auto"/>
          <w:sz w:val="28"/>
          <w:szCs w:val="28"/>
        </w:rPr>
        <w:t>积极开展国际间海洋环境保护合作，努力拓宽国际合作领域。在沿海污染防治和生态保护的科学与技术、综合性沿海环境管理、城镇生产生活污水处理技术工艺、禽畜养殖废弃物处理技术工艺、海水生态养殖新技术等领域逐步扩大和深化合作。开展与周边城市或其他沿海国家（地区）政府间的双边或多边环境合作；拓宽与东盟地区国家就框架内的区域性海洋环境保护合作。</w:t>
      </w:r>
    </w:p>
    <w:p>
      <w:pPr>
        <w:rPr>
          <w:rFonts w:ascii="Times New Roman" w:hAnsi="Times New Roman" w:cs="Times New Roman" w:eastAsiaTheme="majorEastAsia"/>
          <w:color w:val="auto"/>
        </w:rPr>
        <w:sectPr>
          <w:pgSz w:w="11907" w:h="16839"/>
          <w:pgMar w:top="1440" w:right="1797" w:bottom="1440" w:left="1797" w:header="851" w:footer="992" w:gutter="0"/>
          <w:cols w:space="425" w:num="1"/>
          <w:docGrid w:type="lines" w:linePitch="326" w:charSpace="0"/>
        </w:sectPr>
      </w:pPr>
    </w:p>
    <w:p>
      <w:pPr>
        <w:pStyle w:val="2"/>
        <w:tabs>
          <w:tab w:val="clear" w:pos="750"/>
        </w:tabs>
        <w:spacing w:before="120" w:after="120" w:line="360" w:lineRule="auto"/>
        <w:jc w:val="center"/>
        <w:rPr>
          <w:rFonts w:ascii="Times New Roman" w:hAnsi="Times New Roman" w:eastAsiaTheme="majorEastAsia"/>
          <w:b w:val="0"/>
          <w:bCs w:val="0"/>
          <w:color w:val="auto"/>
          <w:sz w:val="28"/>
          <w:szCs w:val="28"/>
        </w:rPr>
      </w:pPr>
      <w:bookmarkStart w:id="38" w:name="_Toc437961723"/>
      <w:bookmarkStart w:id="39" w:name="_Toc441676976"/>
      <w:bookmarkStart w:id="40" w:name="_Toc438980829"/>
      <w:r>
        <w:rPr>
          <w:rFonts w:ascii="Times New Roman" w:hAnsi="Times New Roman" w:eastAsiaTheme="majorEastAsia"/>
          <w:color w:val="auto"/>
          <w:sz w:val="28"/>
          <w:szCs w:val="28"/>
        </w:rPr>
        <w:t>附表1  防城港市近岸海洋环境保护与建设空间布局管控登记表</w:t>
      </w:r>
    </w:p>
    <w:bookmarkEnd w:id="38"/>
    <w:bookmarkEnd w:id="39"/>
    <w:bookmarkEnd w:id="40"/>
    <w:tbl>
      <w:tblPr>
        <w:tblStyle w:val="39"/>
        <w:tblW w:w="14175" w:type="dxa"/>
        <w:tblInd w:w="0" w:type="dxa"/>
        <w:tblLayout w:type="fixed"/>
        <w:tblCellMar>
          <w:top w:w="0" w:type="dxa"/>
          <w:left w:w="108" w:type="dxa"/>
          <w:bottom w:w="0" w:type="dxa"/>
          <w:right w:w="108" w:type="dxa"/>
        </w:tblCellMar>
      </w:tblPr>
      <w:tblGrid>
        <w:gridCol w:w="533"/>
        <w:gridCol w:w="853"/>
        <w:gridCol w:w="1134"/>
        <w:gridCol w:w="1559"/>
        <w:gridCol w:w="1134"/>
        <w:gridCol w:w="1843"/>
        <w:gridCol w:w="2410"/>
        <w:gridCol w:w="2835"/>
        <w:gridCol w:w="1874"/>
      </w:tblGrid>
      <w:tr>
        <w:tblPrEx>
          <w:tblLayout w:type="fixed"/>
          <w:tblCellMar>
            <w:top w:w="0" w:type="dxa"/>
            <w:left w:w="108" w:type="dxa"/>
            <w:bottom w:w="0" w:type="dxa"/>
            <w:right w:w="108" w:type="dxa"/>
          </w:tblCellMar>
        </w:tblPrEx>
        <w:trPr>
          <w:trHeight w:val="468" w:hRule="atLeast"/>
          <w:tblHeader/>
        </w:trPr>
        <w:tc>
          <w:tcPr>
            <w:tcW w:w="138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spacing w:line="240" w:lineRule="auto"/>
              <w:rPr>
                <w:rFonts w:ascii="Times New Roman" w:hAnsi="Times New Roman" w:cs="Times New Roman" w:eastAsiaTheme="majorEastAsia"/>
                <w:b/>
                <w:color w:val="auto"/>
              </w:rPr>
            </w:pPr>
            <w:r>
              <w:rPr>
                <w:rFonts w:ascii="Times New Roman" w:hAnsi="Times New Roman" w:cs="Times New Roman" w:eastAsiaTheme="majorEastAsia"/>
                <w:b/>
                <w:color w:val="auto"/>
              </w:rPr>
              <w:t>类型</w:t>
            </w:r>
          </w:p>
        </w:tc>
        <w:tc>
          <w:tcPr>
            <w:tcW w:w="11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名称</w:t>
            </w:r>
          </w:p>
        </w:tc>
        <w:tc>
          <w:tcPr>
            <w:tcW w:w="1559"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面积</w:t>
            </w:r>
          </w:p>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（平方千米）</w:t>
            </w:r>
          </w:p>
        </w:tc>
        <w:tc>
          <w:tcPr>
            <w:tcW w:w="11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岸线</w:t>
            </w:r>
          </w:p>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（千米）</w:t>
            </w:r>
          </w:p>
        </w:tc>
        <w:tc>
          <w:tcPr>
            <w:tcW w:w="184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开发使用控制</w:t>
            </w:r>
          </w:p>
        </w:tc>
        <w:tc>
          <w:tcPr>
            <w:tcW w:w="241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生态保护重点目标</w:t>
            </w:r>
          </w:p>
        </w:tc>
        <w:tc>
          <w:tcPr>
            <w:tcW w:w="283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环境保护</w:t>
            </w:r>
          </w:p>
        </w:tc>
        <w:tc>
          <w:tcPr>
            <w:tcW w:w="187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主要任务</w:t>
            </w:r>
          </w:p>
        </w:tc>
      </w:tr>
      <w:tr>
        <w:tblPrEx>
          <w:tblLayout w:type="fixed"/>
          <w:tblCellMar>
            <w:top w:w="0" w:type="dxa"/>
            <w:left w:w="108" w:type="dxa"/>
            <w:bottom w:w="0" w:type="dxa"/>
            <w:right w:w="108" w:type="dxa"/>
          </w:tblCellMar>
        </w:tblPrEx>
        <w:trPr>
          <w:trHeight w:val="468" w:hRule="atLeast"/>
          <w:tblHeader/>
        </w:trPr>
        <w:tc>
          <w:tcPr>
            <w:tcW w:w="1386" w:type="dxa"/>
            <w:gridSpan w:val="2"/>
            <w:vMerge w:val="continue"/>
            <w:tcBorders>
              <w:top w:val="single" w:color="auto" w:sz="4" w:space="0"/>
              <w:left w:val="single" w:color="auto" w:sz="4" w:space="0"/>
              <w:bottom w:val="single" w:color="000000" w:sz="4" w:space="0"/>
              <w:right w:val="single" w:color="000000" w:sz="4" w:space="0"/>
            </w:tcBorders>
            <w:vAlign w:val="center"/>
          </w:tcPr>
          <w:p>
            <w:pPr>
              <w:spacing w:line="240" w:lineRule="auto"/>
              <w:rPr>
                <w:rFonts w:ascii="Times New Roman" w:hAnsi="Times New Roman" w:cs="Times New Roman" w:eastAsiaTheme="majorEastAsia"/>
                <w:color w:val="auto"/>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Times New Roman" w:hAnsi="Times New Roman" w:cs="Times New Roman" w:eastAsiaTheme="majorEastAsia"/>
                <w:color w:val="auto"/>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Times New Roman" w:hAnsi="Times New Roman" w:cs="Times New Roman" w:eastAsiaTheme="majorEastAsia"/>
                <w:color w:val="auto"/>
              </w:rPr>
            </w:pPr>
          </w:p>
        </w:tc>
        <w:tc>
          <w:tcPr>
            <w:tcW w:w="184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2835"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874"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r>
      <w:tr>
        <w:tblPrEx>
          <w:tblLayout w:type="fixed"/>
          <w:tblCellMar>
            <w:top w:w="0" w:type="dxa"/>
            <w:left w:w="108" w:type="dxa"/>
            <w:bottom w:w="0" w:type="dxa"/>
            <w:right w:w="108" w:type="dxa"/>
          </w:tblCellMar>
        </w:tblPrEx>
        <w:trPr>
          <w:trHeight w:val="326" w:hRule="atLeast"/>
          <w:tblHeader/>
        </w:trPr>
        <w:tc>
          <w:tcPr>
            <w:tcW w:w="1386" w:type="dxa"/>
            <w:gridSpan w:val="2"/>
            <w:vMerge w:val="continue"/>
            <w:tcBorders>
              <w:top w:val="single" w:color="auto" w:sz="4" w:space="0"/>
              <w:left w:val="single" w:color="auto" w:sz="4" w:space="0"/>
              <w:bottom w:val="single" w:color="auto" w:sz="4" w:space="0"/>
              <w:right w:val="single" w:color="000000" w:sz="4" w:space="0"/>
            </w:tcBorders>
            <w:vAlign w:val="center"/>
          </w:tcPr>
          <w:p>
            <w:pPr>
              <w:spacing w:line="240" w:lineRule="auto"/>
              <w:rPr>
                <w:rFonts w:ascii="Times New Roman" w:hAnsi="Times New Roman" w:cs="Times New Roman" w:eastAsiaTheme="majorEastAsia"/>
                <w:color w:val="auto"/>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559"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Times New Roman" w:hAnsi="Times New Roman" w:cs="Times New Roman" w:eastAsiaTheme="majorEastAsia"/>
                <w:color w:val="auto"/>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jc w:val="center"/>
              <w:rPr>
                <w:rFonts w:ascii="Times New Roman" w:hAnsi="Times New Roman" w:cs="Times New Roman" w:eastAsiaTheme="majorEastAsia"/>
                <w:color w:val="auto"/>
              </w:rPr>
            </w:pPr>
          </w:p>
        </w:tc>
        <w:tc>
          <w:tcPr>
            <w:tcW w:w="184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2835"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874"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r>
      <w:tr>
        <w:tblPrEx>
          <w:tblLayout w:type="fixed"/>
          <w:tblCellMar>
            <w:top w:w="0" w:type="dxa"/>
            <w:left w:w="108" w:type="dxa"/>
            <w:bottom w:w="0" w:type="dxa"/>
            <w:right w:w="108" w:type="dxa"/>
          </w:tblCellMar>
        </w:tblPrEx>
        <w:trPr>
          <w:trHeight w:val="1298" w:hRule="atLeast"/>
        </w:trPr>
        <w:tc>
          <w:tcPr>
            <w:tcW w:w="53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绿色屏障</w:t>
            </w:r>
          </w:p>
        </w:tc>
        <w:tc>
          <w:tcPr>
            <w:tcW w:w="85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海洋自然保护区</w:t>
            </w:r>
          </w:p>
          <w:p>
            <w:pPr>
              <w:spacing w:line="240" w:lineRule="auto"/>
              <w:rPr>
                <w:rFonts w:ascii="Times New Roman" w:hAnsi="Times New Roman" w:cs="Times New Roman" w:eastAsiaTheme="majorEastAsia"/>
                <w:color w:val="auto"/>
              </w:rPr>
            </w:pPr>
          </w:p>
          <w:p>
            <w:pPr>
              <w:spacing w:line="240" w:lineRule="auto"/>
              <w:rPr>
                <w:rFonts w:ascii="Times New Roman" w:hAnsi="Times New Roman" w:cs="Times New Roman" w:eastAsiaTheme="majorEastAsia"/>
                <w:color w:val="auto"/>
              </w:rPr>
            </w:pPr>
          </w:p>
          <w:p>
            <w:pPr>
              <w:spacing w:line="240" w:lineRule="auto"/>
              <w:rPr>
                <w:rFonts w:ascii="Times New Roman" w:hAnsi="Times New Roman" w:cs="Times New Roman" w:eastAsiaTheme="majorEastAsia"/>
                <w:color w:val="auto"/>
              </w:rPr>
            </w:pPr>
          </w:p>
          <w:p>
            <w:pPr>
              <w:spacing w:line="240" w:lineRule="auto"/>
              <w:rPr>
                <w:rFonts w:ascii="Times New Roman" w:hAnsi="Times New Roman" w:cs="Times New Roman" w:eastAsiaTheme="majorEastAsia"/>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北仑河口国家级自然保护区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30.00</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31.21</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海洋保护区用海；禁止围填海。</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保护红树林及其海洋自然生态系统，提高红树林生态系统的生物多样性；珍珠湾内还应保护海草床生境；保护自然景观。</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严格执行《自然保护区管理条例》和《海洋自然保护区管理办法》。海水水质、海洋沉积物和海洋生物执行一类标准，河口区域海水水质执行三类标准、海洋沉积物和海洋生物执行二类标准。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修复和改善红树林生态系统</w:t>
            </w:r>
          </w:p>
        </w:tc>
      </w:tr>
      <w:tr>
        <w:tblPrEx>
          <w:tblLayout w:type="fixed"/>
          <w:tblCellMar>
            <w:top w:w="0" w:type="dxa"/>
            <w:left w:w="108" w:type="dxa"/>
            <w:bottom w:w="0" w:type="dxa"/>
            <w:right w:w="108" w:type="dxa"/>
          </w:tblCellMar>
        </w:tblPrEx>
        <w:trPr>
          <w:trHeight w:val="600" w:hRule="atLeast"/>
        </w:trPr>
        <w:tc>
          <w:tcPr>
            <w:tcW w:w="53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海洋特别保护区</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防城港东湾红树林海洋特别保护区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w:t>
            </w:r>
            <w:r>
              <w:rPr>
                <w:rFonts w:hint="eastAsia" w:ascii="Times New Roman" w:hAnsi="Times New Roman" w:cs="Times New Roman" w:eastAsiaTheme="majorEastAsia"/>
                <w:color w:val="auto"/>
              </w:rPr>
              <w:t>77</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hint="eastAsia" w:ascii="Times New Roman" w:hAnsi="Times New Roman" w:cs="Times New Roman" w:eastAsiaTheme="majorEastAsia"/>
                <w:color w:val="auto"/>
              </w:rPr>
              <w:t>7.0</w:t>
            </w:r>
            <w:r>
              <w:rPr>
                <w:rFonts w:ascii="Times New Roman" w:hAnsi="Times New Roman" w:cs="Times New Roman" w:eastAsiaTheme="majorEastAsia"/>
                <w:color w:val="auto"/>
              </w:rPr>
              <w:t>6</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海洋保护区用海；兼顾生态观光旅游用海。</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保护红树林及其海洋自然生态系统；保护自然景观。</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严格执行《海洋类特别保护区管理办法》。整体区域要求海水水质执行二类标准、海洋沉积物和海洋生物执行一类标准；近港口区域海水水质执行三类标准、海洋沉积物和海洋生物执行二类标准。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加强防城港东湾综合整治</w:t>
            </w:r>
          </w:p>
        </w:tc>
      </w:tr>
      <w:tr>
        <w:tblPrEx>
          <w:tblLayout w:type="fixed"/>
          <w:tblCellMar>
            <w:top w:w="0" w:type="dxa"/>
            <w:left w:w="108" w:type="dxa"/>
            <w:bottom w:w="0" w:type="dxa"/>
            <w:right w:w="108" w:type="dxa"/>
          </w:tblCellMar>
        </w:tblPrEx>
        <w:trPr>
          <w:trHeight w:val="1118" w:hRule="atLeast"/>
        </w:trPr>
        <w:tc>
          <w:tcPr>
            <w:tcW w:w="53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vMerge w:val="continue"/>
            <w:tcBorders>
              <w:top w:val="single" w:color="auto" w:sz="4" w:space="0"/>
              <w:left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134"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广西近海南部海洋特别保护区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27</w:t>
            </w:r>
            <w:r>
              <w:rPr>
                <w:rFonts w:hint="eastAsia" w:ascii="Times New Roman" w:hAnsi="Times New Roman" w:cs="Times New Roman" w:eastAsiaTheme="majorEastAsia"/>
                <w:color w:val="auto"/>
              </w:rPr>
              <w:t>4.02</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海洋特别保护区用海</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保护广西近海南部海域优质渔业品种、种质资源及其产卵场。加强对蓝圆鲹和二长棘鲷产卵场的保护</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加强海洋环境监测与渔业资源变动情况研究，禁止污水在区域内排放。除航道或锚地区域外，其余区域执行海水水质执行不劣于一类标准，海洋沉积物和海洋生物执行一类标准。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加强渔政执法</w:t>
            </w:r>
          </w:p>
        </w:tc>
      </w:tr>
      <w:tr>
        <w:tblPrEx>
          <w:tblLayout w:type="fixed"/>
          <w:tblCellMar>
            <w:top w:w="0" w:type="dxa"/>
            <w:left w:w="108" w:type="dxa"/>
            <w:bottom w:w="0" w:type="dxa"/>
            <w:right w:w="108" w:type="dxa"/>
          </w:tblCellMar>
        </w:tblPrEx>
        <w:trPr>
          <w:trHeight w:val="1118" w:hRule="atLeast"/>
        </w:trPr>
        <w:tc>
          <w:tcPr>
            <w:tcW w:w="53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vMerge w:val="continue"/>
            <w:tcBorders>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13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白龙尾珊瑚分布区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hint="eastAsia" w:ascii="Times New Roman" w:hAnsi="Times New Roman" w:cs="Times New Roman" w:eastAsiaTheme="majorEastAsia"/>
                <w:color w:val="auto"/>
              </w:rPr>
              <w:t>2.07</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hint="eastAsia" w:ascii="Times New Roman" w:hAnsi="Times New Roman" w:cs="Times New Roman" w:eastAsiaTheme="majorEastAsia"/>
                <w:color w:val="auto"/>
              </w:rPr>
              <w:t>2.58</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严禁围填海，不得影响珊瑚生境。</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珊瑚生态系统</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珊瑚区海水水质、海洋沉积物和海洋生物执行一类标准。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加强典型海洋生态系统保护与修复</w:t>
            </w:r>
          </w:p>
        </w:tc>
      </w:tr>
      <w:tr>
        <w:tblPrEx>
          <w:tblLayout w:type="fixed"/>
          <w:tblCellMar>
            <w:top w:w="0" w:type="dxa"/>
            <w:left w:w="108" w:type="dxa"/>
            <w:bottom w:w="0" w:type="dxa"/>
            <w:right w:w="108" w:type="dxa"/>
          </w:tblCellMar>
        </w:tblPrEx>
        <w:trPr>
          <w:trHeight w:val="1675" w:hRule="atLeast"/>
        </w:trPr>
        <w:tc>
          <w:tcPr>
            <w:tcW w:w="53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tcBorders>
              <w:top w:val="nil"/>
              <w:left w:val="nil"/>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其他重点典型生态区</w:t>
            </w:r>
          </w:p>
        </w:tc>
        <w:tc>
          <w:tcPr>
            <w:tcW w:w="1134"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长榄岛红树林分布区</w:t>
            </w:r>
          </w:p>
        </w:tc>
        <w:tc>
          <w:tcPr>
            <w:tcW w:w="1559" w:type="dxa"/>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1.142</w:t>
            </w:r>
          </w:p>
        </w:tc>
        <w:tc>
          <w:tcPr>
            <w:tcW w:w="1134" w:type="dxa"/>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严禁围填海，不得影响红树林、珊瑚生境。</w:t>
            </w:r>
          </w:p>
        </w:tc>
        <w:tc>
          <w:tcPr>
            <w:tcW w:w="2410"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红树林生态系统生态系统。</w:t>
            </w:r>
          </w:p>
        </w:tc>
        <w:tc>
          <w:tcPr>
            <w:tcW w:w="2835"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红树林区海水水质执行不劣于二类标准，海洋沉积物和海洋生物执行一类标准，</w:t>
            </w:r>
          </w:p>
        </w:tc>
        <w:tc>
          <w:tcPr>
            <w:tcW w:w="1874"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加强典型海洋生态系统保护与修复</w:t>
            </w:r>
          </w:p>
        </w:tc>
      </w:tr>
      <w:tr>
        <w:tblPrEx>
          <w:tblLayout w:type="fixed"/>
          <w:tblCellMar>
            <w:top w:w="0" w:type="dxa"/>
            <w:left w:w="108" w:type="dxa"/>
            <w:bottom w:w="0" w:type="dxa"/>
            <w:right w:w="108" w:type="dxa"/>
          </w:tblCellMar>
        </w:tblPrEx>
        <w:trPr>
          <w:trHeight w:val="398" w:hRule="atLeast"/>
        </w:trPr>
        <w:tc>
          <w:tcPr>
            <w:tcW w:w="533" w:type="dxa"/>
            <w:vMerge w:val="restart"/>
            <w:tcBorders>
              <w:top w:val="nil"/>
              <w:left w:val="single" w:color="auto" w:sz="4" w:space="0"/>
              <w:bottom w:val="single" w:color="000000"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金色海岸</w:t>
            </w:r>
          </w:p>
        </w:tc>
        <w:tc>
          <w:tcPr>
            <w:tcW w:w="85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旅游娱乐区</w:t>
            </w:r>
          </w:p>
        </w:tc>
        <w:tc>
          <w:tcPr>
            <w:tcW w:w="1134"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西湾旅游区</w:t>
            </w:r>
            <w:r>
              <w:rPr>
                <w:rFonts w:hint="eastAsia" w:ascii="Times New Roman" w:hAnsi="Times New Roman" w:cs="Times New Roman" w:eastAsiaTheme="majorEastAsia"/>
                <w:color w:val="auto"/>
              </w:rPr>
              <w:t>、东湾旅游区</w:t>
            </w:r>
          </w:p>
        </w:tc>
        <w:tc>
          <w:tcPr>
            <w:tcW w:w="1559" w:type="dxa"/>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21.21</w:t>
            </w:r>
          </w:p>
        </w:tc>
        <w:tc>
          <w:tcPr>
            <w:tcW w:w="1134" w:type="dxa"/>
            <w:tcBorders>
              <w:top w:val="single" w:color="auto" w:sz="4" w:space="0"/>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40.36</w:t>
            </w:r>
          </w:p>
        </w:tc>
        <w:tc>
          <w:tcPr>
            <w:tcW w:w="1843"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开发利用方向为城市休闲观光、娱乐运动等。按景区承载能力控制旅游强度；完善旅游港口等配套设施建设；限制破坏海岸地形、岸滩形态的活动；禁止影响防洪、泄洪安全。</w:t>
            </w:r>
          </w:p>
        </w:tc>
        <w:tc>
          <w:tcPr>
            <w:tcW w:w="2410"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保护海岸景观和河口湿地景观，保护红树林生态系统。</w:t>
            </w:r>
          </w:p>
        </w:tc>
        <w:tc>
          <w:tcPr>
            <w:tcW w:w="2835"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严格实行污水达标排放和生活垃圾科学处置，海水水质执行不劣于三类标准，海洋沉积物和海洋生物执行二类标准。</w:t>
            </w:r>
          </w:p>
        </w:tc>
        <w:tc>
          <w:tcPr>
            <w:tcW w:w="1874"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清理旅游区内的养殖用海，加强旅游区的综合整治和恢复。积极申报西湾国家海洋公园。</w:t>
            </w:r>
          </w:p>
        </w:tc>
      </w:tr>
      <w:tr>
        <w:tblPrEx>
          <w:tblLayout w:type="fixed"/>
          <w:tblCellMar>
            <w:top w:w="0" w:type="dxa"/>
            <w:left w:w="108" w:type="dxa"/>
            <w:bottom w:w="0" w:type="dxa"/>
            <w:right w:w="108" w:type="dxa"/>
          </w:tblCellMar>
        </w:tblPrEx>
        <w:trPr>
          <w:trHeight w:val="998" w:hRule="atLeast"/>
        </w:trPr>
        <w:tc>
          <w:tcPr>
            <w:tcW w:w="533" w:type="dxa"/>
            <w:vMerge w:val="continue"/>
            <w:tcBorders>
              <w:top w:val="nil"/>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13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金滩旅游娱乐区、江山半岛旅游娱乐区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7</w:t>
            </w:r>
            <w:r>
              <w:rPr>
                <w:rFonts w:hint="eastAsia" w:ascii="Times New Roman" w:hAnsi="Times New Roman" w:cs="Times New Roman" w:eastAsiaTheme="majorEastAsia"/>
                <w:color w:val="auto"/>
              </w:rPr>
              <w:t>5.90</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hint="eastAsia" w:ascii="Times New Roman" w:hAnsi="Times New Roman" w:cs="Times New Roman" w:eastAsiaTheme="majorEastAsia"/>
                <w:color w:val="auto"/>
              </w:rPr>
              <w:t>43.76</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按景区承载能力控制旅游强度；完善旅游港口等配套设施建设；限制破坏海岸地形、岸滩形态的活动；周边海域不得新设置排污口、工业排水口或其他污染源。</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保护沙滩资源和沙滩质量；基本保持岸线形态，长度和邻近海域底质类型的稳定；保持重要自然景观和人文景观的完整性。</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严格实行污水达标排放和生活垃圾科学处置，海水水质执行不劣于二类标准，海洋沉积物和海洋生物执行一类标准。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加强沙滩综合整治和修复</w:t>
            </w:r>
          </w:p>
        </w:tc>
      </w:tr>
      <w:tr>
        <w:tblPrEx>
          <w:tblLayout w:type="fixed"/>
          <w:tblCellMar>
            <w:top w:w="0" w:type="dxa"/>
            <w:left w:w="108" w:type="dxa"/>
            <w:bottom w:w="0" w:type="dxa"/>
            <w:right w:w="108" w:type="dxa"/>
          </w:tblCellMar>
        </w:tblPrEx>
        <w:trPr>
          <w:trHeight w:val="998" w:hRule="atLeast"/>
        </w:trPr>
        <w:tc>
          <w:tcPr>
            <w:tcW w:w="533" w:type="dxa"/>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vMerge w:val="continue"/>
            <w:tcBorders>
              <w:top w:val="single" w:color="auto" w:sz="4" w:space="0"/>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大东沙旅游区</w:t>
            </w:r>
          </w:p>
        </w:tc>
        <w:tc>
          <w:tcPr>
            <w:tcW w:w="1559" w:type="dxa"/>
            <w:tcBorders>
              <w:top w:val="nil"/>
              <w:left w:val="single" w:color="auto" w:sz="4" w:space="0"/>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27.44</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4</w:t>
            </w:r>
            <w:r>
              <w:rPr>
                <w:rFonts w:hint="eastAsia" w:ascii="Times New Roman" w:hAnsi="Times New Roman" w:cs="Times New Roman" w:eastAsiaTheme="majorEastAsia"/>
                <w:color w:val="auto"/>
              </w:rPr>
              <w:t>0.00</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 xml:space="preserve">开展生态景观修复试点工程，完善旅游配套设施建设，优化发展现代海洋休闲渔业， </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保护沙滩资源和沙滩质量；保持重要自然景观和人文景观的完整性。</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严格实行污水达标排放和生活垃圾科学处置，海水水质执行不劣于二类标准，海洋沉积物和海洋生物执行一类标准。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山心沙岛生态修复，山新岸线综合整治。</w:t>
            </w:r>
          </w:p>
        </w:tc>
      </w:tr>
      <w:tr>
        <w:tblPrEx>
          <w:tblLayout w:type="fixed"/>
          <w:tblCellMar>
            <w:top w:w="0" w:type="dxa"/>
            <w:left w:w="108" w:type="dxa"/>
            <w:bottom w:w="0" w:type="dxa"/>
            <w:right w:w="108" w:type="dxa"/>
          </w:tblCellMar>
        </w:tblPrEx>
        <w:trPr>
          <w:trHeight w:val="1943" w:hRule="atLeast"/>
        </w:trPr>
        <w:tc>
          <w:tcPr>
            <w:tcW w:w="53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蓝色粮仓</w:t>
            </w:r>
          </w:p>
        </w:tc>
        <w:tc>
          <w:tcPr>
            <w:tcW w:w="853"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滩涂增养殖区</w:t>
            </w:r>
          </w:p>
        </w:tc>
        <w:tc>
          <w:tcPr>
            <w:tcW w:w="1134" w:type="dxa"/>
            <w:tcBorders>
              <w:top w:val="single" w:color="auto" w:sz="4" w:space="0"/>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竹山-巫头-珍珠湾滩涂增养殖区、茅尾海西岸滩涂增养殖区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hint="eastAsia" w:ascii="Times New Roman" w:hAnsi="Times New Roman" w:cs="Times New Roman" w:eastAsiaTheme="majorEastAsia"/>
                <w:color w:val="auto"/>
              </w:rPr>
              <w:t>109.34</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hint="eastAsia" w:ascii="Times New Roman" w:hAnsi="Times New Roman" w:cs="Times New Roman" w:eastAsiaTheme="majorEastAsia"/>
                <w:color w:val="auto"/>
              </w:rPr>
              <w:t>127.86</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严格限制改变海域自然属性；严格执行相关海洋生物资源养护规定，按照养殖容量控制养殖规模和养殖密度；应用生态养殖技术，逐步开发休闲渔业。</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保护渔业生境；保护海岸景观和湿地景观；保护珍珠贝生境；保护海草床生境。优先保障相邻保护区用海。</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加强海域污染防治和监测，海水水质执行不劣于二类标准，海洋沉积物和海洋生物执行一类标准。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重点发展海水贝类、鱼、虾养殖，适度开发青蟹养殖。</w:t>
            </w:r>
          </w:p>
        </w:tc>
      </w:tr>
      <w:tr>
        <w:tblPrEx>
          <w:tblLayout w:type="fixed"/>
          <w:tblCellMar>
            <w:top w:w="0" w:type="dxa"/>
            <w:left w:w="108" w:type="dxa"/>
            <w:bottom w:w="0" w:type="dxa"/>
            <w:right w:w="108" w:type="dxa"/>
          </w:tblCellMar>
        </w:tblPrEx>
        <w:trPr>
          <w:trHeight w:val="2123" w:hRule="atLeast"/>
        </w:trPr>
        <w:tc>
          <w:tcPr>
            <w:tcW w:w="533" w:type="dxa"/>
            <w:vMerge w:val="continue"/>
            <w:tcBorders>
              <w:top w:val="nil"/>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浅海增养殖区</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竹山-巫头浅海增养殖区、珍珠湾浅海增养殖区、江山半岛南岸浅海增养殖区、企沙半岛东南岸浅海增养殖区、红沙浅增海养殖区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hint="eastAsia" w:ascii="Times New Roman" w:hAnsi="Times New Roman" w:cs="Times New Roman" w:eastAsiaTheme="majorEastAsia"/>
                <w:color w:val="auto"/>
              </w:rPr>
              <w:t>1327.20</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禁止改变海域自然属性，严格执行相关海洋生物资源养护规定，按照养殖容量控制养殖规模和养殖密度，实施生态养殖，适度开发休闲渔业。</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保护渔业生境，加强对蓝圆鲹和二长棘鲷产卵场的保护，保护海草床生境，优先保障相邻保护区用海。</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加强海域污染防治和监测，严格实行污水达标排放和生活垃圾科学处置，海水水质执行不劣于二类标准，海洋沉积物和海洋生物执行一类标准。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重点发展筏式养殖近江牡蛎、深水抗风浪网箱养殖。珍珠湾、北仑河口海域重点发展筏养马氏珍珠贝。江山半岛南岸重点建设海洋牧场。</w:t>
            </w:r>
          </w:p>
        </w:tc>
      </w:tr>
      <w:tr>
        <w:tblPrEx>
          <w:tblLayout w:type="fixed"/>
          <w:tblCellMar>
            <w:top w:w="0" w:type="dxa"/>
            <w:left w:w="108" w:type="dxa"/>
            <w:bottom w:w="0" w:type="dxa"/>
            <w:right w:w="108" w:type="dxa"/>
          </w:tblCellMar>
        </w:tblPrEx>
        <w:trPr>
          <w:trHeight w:val="1200" w:hRule="atLeast"/>
        </w:trPr>
        <w:tc>
          <w:tcPr>
            <w:tcW w:w="533" w:type="dxa"/>
            <w:vMerge w:val="restart"/>
            <w:tcBorders>
              <w:top w:val="nil"/>
              <w:left w:val="single" w:color="auto" w:sz="4" w:space="0"/>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多彩经济</w:t>
            </w:r>
          </w:p>
        </w:tc>
        <w:tc>
          <w:tcPr>
            <w:tcW w:w="853" w:type="dxa"/>
            <w:vMerge w:val="restart"/>
            <w:tcBorders>
              <w:top w:val="nil"/>
              <w:left w:val="single" w:color="auto" w:sz="4" w:space="0"/>
              <w:bottom w:val="single" w:color="000000"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港口区</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竹山</w:t>
            </w:r>
            <w:r>
              <w:rPr>
                <w:rFonts w:hint="eastAsia" w:ascii="Times New Roman" w:hAnsi="Times New Roman" w:cs="Times New Roman" w:eastAsiaTheme="majorEastAsia"/>
                <w:color w:val="auto"/>
              </w:rPr>
              <w:t>码头</w:t>
            </w:r>
            <w:r>
              <w:rPr>
                <w:rFonts w:ascii="Times New Roman" w:hAnsi="Times New Roman" w:cs="Times New Roman" w:eastAsiaTheme="majorEastAsia"/>
                <w:color w:val="auto"/>
              </w:rPr>
              <w:t>、京岛</w:t>
            </w:r>
            <w:r>
              <w:rPr>
                <w:rFonts w:hint="eastAsia" w:ascii="Times New Roman" w:hAnsi="Times New Roman" w:cs="Times New Roman" w:eastAsiaTheme="majorEastAsia"/>
                <w:color w:val="auto"/>
              </w:rPr>
              <w:t>码头</w:t>
            </w:r>
            <w:r>
              <w:rPr>
                <w:rFonts w:ascii="Times New Roman" w:hAnsi="Times New Roman" w:cs="Times New Roman" w:eastAsiaTheme="majorEastAsia"/>
                <w:color w:val="auto"/>
              </w:rPr>
              <w:t>、潭吉</w:t>
            </w:r>
            <w:r>
              <w:rPr>
                <w:rFonts w:hint="eastAsia" w:ascii="Times New Roman" w:hAnsi="Times New Roman" w:cs="Times New Roman" w:eastAsiaTheme="majorEastAsia"/>
                <w:color w:val="auto"/>
              </w:rPr>
              <w:t>码头</w:t>
            </w:r>
            <w:r>
              <w:rPr>
                <w:rFonts w:ascii="Times New Roman" w:hAnsi="Times New Roman" w:cs="Times New Roman" w:eastAsiaTheme="majorEastAsia"/>
                <w:color w:val="auto"/>
              </w:rPr>
              <w:t>、企沙渔港</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10.01</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w:t>
            </w:r>
            <w:r>
              <w:rPr>
                <w:rFonts w:hint="eastAsia" w:ascii="Times New Roman" w:hAnsi="Times New Roman" w:cs="Times New Roman" w:eastAsiaTheme="majorEastAsia"/>
                <w:color w:val="auto"/>
              </w:rPr>
              <w:t>7.50</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优先保障港口航运用海；兼顾旅游娱乐功能；</w:t>
            </w:r>
            <w:r>
              <w:rPr>
                <w:rFonts w:hint="eastAsia" w:ascii="Times New Roman" w:hAnsi="Times New Roman" w:cs="Times New Roman" w:eastAsiaTheme="majorEastAsia"/>
                <w:color w:val="auto"/>
              </w:rPr>
              <w:t>不允许开展与港口规划不相符的旅游和养殖等开发活动</w:t>
            </w:r>
            <w:r>
              <w:rPr>
                <w:rFonts w:ascii="Times New Roman" w:hAnsi="Times New Roman" w:cs="Times New Roman" w:eastAsiaTheme="majorEastAsia"/>
                <w:color w:val="auto"/>
              </w:rPr>
              <w:t>。</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维护港口水深条件和航道通畅，应减少对海洋水动力环境、岸滩及海底地形地貌形态的影响，防止海岸侵蚀，不应对毗邻功能区产生影响。</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禁止向港口水域倾倒泥土、砂石以及超过规定标准的有毒、有害物质，避免对海洋生态环境产生不利影响。海水水质执行不低于三类标准，海洋沉积物和海洋生物执行不低于二类标准。</w:t>
            </w:r>
          </w:p>
        </w:tc>
        <w:tc>
          <w:tcPr>
            <w:tcW w:w="1874" w:type="dxa"/>
            <w:vMerge w:val="restart"/>
            <w:tcBorders>
              <w:top w:val="nil"/>
              <w:left w:val="single" w:color="auto" w:sz="4" w:space="0"/>
              <w:bottom w:val="single" w:color="000000"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加强污染防治管理，配备相应的污染物接收设施和防污染设备、器材，制定完善的防污染管理制度</w:t>
            </w:r>
          </w:p>
        </w:tc>
      </w:tr>
      <w:tr>
        <w:tblPrEx>
          <w:tblLayout w:type="fixed"/>
          <w:tblCellMar>
            <w:top w:w="0" w:type="dxa"/>
            <w:left w:w="108" w:type="dxa"/>
            <w:bottom w:w="0" w:type="dxa"/>
            <w:right w:w="108" w:type="dxa"/>
          </w:tblCellMar>
        </w:tblPrEx>
        <w:trPr>
          <w:trHeight w:val="1069" w:hRule="atLeast"/>
        </w:trPr>
        <w:tc>
          <w:tcPr>
            <w:tcW w:w="533" w:type="dxa"/>
            <w:vMerge w:val="continue"/>
            <w:tcBorders>
              <w:top w:val="nil"/>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vMerge w:val="continue"/>
            <w:tcBorders>
              <w:top w:val="nil"/>
              <w:left w:val="single" w:color="auto" w:sz="4" w:space="0"/>
              <w:bottom w:val="single" w:color="000000"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113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渔澫港区、企沙港区、企沙东港区、白龙港点、榕木江港点、大小冬瓜港点和茅岭港点</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w:t>
            </w:r>
            <w:r>
              <w:rPr>
                <w:rFonts w:hint="eastAsia" w:ascii="Times New Roman" w:hAnsi="Times New Roman" w:cs="Times New Roman" w:eastAsiaTheme="majorEastAsia"/>
                <w:color w:val="auto"/>
              </w:rPr>
              <w:t>63.54</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17</w:t>
            </w:r>
            <w:r>
              <w:rPr>
                <w:rFonts w:hint="eastAsia" w:ascii="Times New Roman" w:hAnsi="Times New Roman" w:cs="Times New Roman" w:eastAsiaTheme="majorEastAsia"/>
                <w:color w:val="auto"/>
              </w:rPr>
              <w:t>2.36</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优先保障港口航运用海；兼顾旅游娱乐功能；</w:t>
            </w:r>
            <w:r>
              <w:rPr>
                <w:rFonts w:hint="eastAsia" w:ascii="Times New Roman" w:hAnsi="Times New Roman" w:cs="Times New Roman" w:eastAsiaTheme="majorEastAsia"/>
                <w:color w:val="auto"/>
              </w:rPr>
              <w:t>不允许开展与港口规划不相符的旅游和养殖等开发活动</w:t>
            </w:r>
            <w:r>
              <w:rPr>
                <w:rFonts w:ascii="Times New Roman" w:hAnsi="Times New Roman" w:cs="Times New Roman" w:eastAsiaTheme="majorEastAsia"/>
                <w:color w:val="auto"/>
              </w:rPr>
              <w:t>。</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维护港口水深条件和航道通畅，应减少对海洋水动力环境、岸滩及海底地形地貌形态的影响，防止海岸侵蚀。</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禁止向港口水域倾倒泥土、砂石以及超过规定标准的有毒、有害物质，避免对海洋生态环境产生不利影响。海水水质执行不劣于四类标准，海洋沉积物和海洋生物执行不劣于三类标准。</w:t>
            </w:r>
          </w:p>
        </w:tc>
        <w:tc>
          <w:tcPr>
            <w:tcW w:w="1874" w:type="dxa"/>
            <w:vMerge w:val="continue"/>
            <w:tcBorders>
              <w:top w:val="nil"/>
              <w:left w:val="single" w:color="auto" w:sz="4" w:space="0"/>
              <w:bottom w:val="single" w:color="000000" w:sz="4" w:space="0"/>
              <w:right w:val="single" w:color="auto" w:sz="4" w:space="0"/>
            </w:tcBorders>
            <w:vAlign w:val="center"/>
          </w:tcPr>
          <w:p>
            <w:pPr>
              <w:spacing w:line="240" w:lineRule="auto"/>
              <w:rPr>
                <w:rFonts w:ascii="Times New Roman" w:hAnsi="Times New Roman" w:cs="Times New Roman" w:eastAsiaTheme="majorEastAsia"/>
                <w:color w:val="auto"/>
              </w:rPr>
            </w:pPr>
          </w:p>
        </w:tc>
      </w:tr>
      <w:tr>
        <w:tblPrEx>
          <w:tblLayout w:type="fixed"/>
          <w:tblCellMar>
            <w:top w:w="0" w:type="dxa"/>
            <w:left w:w="108" w:type="dxa"/>
            <w:bottom w:w="0" w:type="dxa"/>
            <w:right w:w="108" w:type="dxa"/>
          </w:tblCellMar>
        </w:tblPrEx>
        <w:trPr>
          <w:trHeight w:val="960" w:hRule="atLeast"/>
        </w:trPr>
        <w:tc>
          <w:tcPr>
            <w:tcW w:w="533" w:type="dxa"/>
            <w:vMerge w:val="continue"/>
            <w:tcBorders>
              <w:top w:val="nil"/>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航道区、锚地区</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管辖海域所有航道、锚地</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禁止在航道及其保护范围内采砂或其他影响通航环境的活动，禁止在锚地区倾倒、养殖或其他影响锚地安全的活动。</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维护水动力环境和水深条件，维护航道冲淤平衡。</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执行三类水质标准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保障航道通畅和锚地安全</w:t>
            </w:r>
          </w:p>
        </w:tc>
      </w:tr>
      <w:tr>
        <w:tblPrEx>
          <w:tblLayout w:type="fixed"/>
          <w:tblCellMar>
            <w:top w:w="0" w:type="dxa"/>
            <w:left w:w="108" w:type="dxa"/>
            <w:bottom w:w="0" w:type="dxa"/>
            <w:right w:w="108" w:type="dxa"/>
          </w:tblCellMar>
        </w:tblPrEx>
        <w:trPr>
          <w:trHeight w:val="1200" w:hRule="atLeast"/>
        </w:trPr>
        <w:tc>
          <w:tcPr>
            <w:tcW w:w="533" w:type="dxa"/>
            <w:vMerge w:val="continue"/>
            <w:tcBorders>
              <w:top w:val="nil"/>
              <w:left w:val="single" w:color="auto" w:sz="4" w:space="0"/>
              <w:bottom w:val="single" w:color="auto" w:sz="4" w:space="0"/>
              <w:right w:val="single" w:color="auto" w:sz="4" w:space="0"/>
            </w:tcBorders>
            <w:vAlign w:val="center"/>
          </w:tcPr>
          <w:p>
            <w:pPr>
              <w:spacing w:line="240" w:lineRule="auto"/>
              <w:rPr>
                <w:rFonts w:ascii="Times New Roman" w:hAnsi="Times New Roman" w:cs="Times New Roman" w:eastAsiaTheme="majorEastAsia"/>
                <w:color w:val="auto"/>
              </w:rPr>
            </w:pPr>
          </w:p>
        </w:tc>
        <w:tc>
          <w:tcPr>
            <w:tcW w:w="85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工业用海区</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公车工业用海区、企沙工业用海区</w:t>
            </w:r>
          </w:p>
        </w:tc>
        <w:tc>
          <w:tcPr>
            <w:tcW w:w="1559"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61.</w:t>
            </w:r>
            <w:r>
              <w:rPr>
                <w:rFonts w:hint="eastAsia" w:ascii="Times New Roman" w:hAnsi="Times New Roman" w:cs="Times New Roman" w:eastAsiaTheme="majorEastAsia"/>
                <w:color w:val="auto"/>
              </w:rPr>
              <w:t>95</w:t>
            </w:r>
          </w:p>
        </w:tc>
        <w:tc>
          <w:tcPr>
            <w:tcW w:w="1134" w:type="dxa"/>
            <w:tcBorders>
              <w:top w:val="nil"/>
              <w:left w:val="nil"/>
              <w:bottom w:val="single" w:color="auto" w:sz="4" w:space="0"/>
              <w:right w:val="single" w:color="auto" w:sz="4" w:space="0"/>
            </w:tcBorders>
            <w:shd w:val="clear" w:color="auto" w:fill="auto"/>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35.10</w:t>
            </w:r>
          </w:p>
        </w:tc>
        <w:tc>
          <w:tcPr>
            <w:tcW w:w="1843"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保障工业区用海需求。在工程未实施前，区域开发活动维持现状。严格工程审批制度。</w:t>
            </w:r>
          </w:p>
        </w:tc>
        <w:tc>
          <w:tcPr>
            <w:tcW w:w="2410"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科学规划区域建设用海并进行严格论证，加强对填海的动态监测和跟踪管理。应减小对海洋水动力环境、岸滩及海底地形地貌的影响，防止海岸侵蚀。</w:t>
            </w:r>
          </w:p>
        </w:tc>
        <w:tc>
          <w:tcPr>
            <w:tcW w:w="2835"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严格工业废水的达标排放。海水水质执行不劣于三类标准，海洋沉积物和海洋生物执行不劣于二类标准。</w:t>
            </w:r>
          </w:p>
        </w:tc>
        <w:tc>
          <w:tcPr>
            <w:tcW w:w="1874" w:type="dxa"/>
            <w:tcBorders>
              <w:top w:val="nil"/>
              <w:left w:val="nil"/>
              <w:bottom w:val="single" w:color="auto" w:sz="4" w:space="0"/>
              <w:right w:val="single" w:color="auto" w:sz="4" w:space="0"/>
            </w:tcBorders>
            <w:shd w:val="clear" w:color="auto" w:fill="auto"/>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启动企沙东岛填海造地工程及项目规划策划</w:t>
            </w:r>
          </w:p>
        </w:tc>
      </w:tr>
    </w:tbl>
    <w:p>
      <w:pPr>
        <w:rPr>
          <w:rFonts w:ascii="Times New Roman" w:hAnsi="Times New Roman" w:cs="Times New Roman" w:eastAsiaTheme="majorEastAsia"/>
          <w:color w:val="auto"/>
        </w:rPr>
      </w:pPr>
    </w:p>
    <w:p>
      <w:pPr>
        <w:rPr>
          <w:rFonts w:ascii="Times New Roman" w:hAnsi="Times New Roman" w:cs="Times New Roman" w:eastAsiaTheme="majorEastAsia"/>
          <w:color w:val="auto"/>
          <w:kern w:val="44"/>
          <w:sz w:val="30"/>
          <w:szCs w:val="44"/>
        </w:rPr>
      </w:pPr>
      <w:r>
        <w:rPr>
          <w:rFonts w:ascii="Times New Roman" w:hAnsi="Times New Roman" w:cs="Times New Roman" w:eastAsiaTheme="majorEastAsia"/>
          <w:color w:val="auto"/>
        </w:rPr>
        <w:br w:type="page"/>
      </w:r>
    </w:p>
    <w:p>
      <w:pPr>
        <w:pStyle w:val="2"/>
        <w:tabs>
          <w:tab w:val="clear" w:pos="750"/>
        </w:tabs>
        <w:spacing w:before="120" w:after="120" w:line="360" w:lineRule="auto"/>
        <w:jc w:val="center"/>
        <w:rPr>
          <w:rFonts w:ascii="Times New Roman" w:hAnsi="Times New Roman" w:eastAsiaTheme="majorEastAsia"/>
          <w:color w:val="auto"/>
          <w:sz w:val="28"/>
          <w:szCs w:val="28"/>
        </w:rPr>
      </w:pPr>
      <w:bookmarkStart w:id="41" w:name="_Toc441676977"/>
      <w:bookmarkStart w:id="42" w:name="_Toc437961724"/>
      <w:r>
        <w:rPr>
          <w:rFonts w:ascii="Times New Roman" w:hAnsi="Times New Roman" w:eastAsiaTheme="majorEastAsia"/>
          <w:color w:val="auto"/>
          <w:sz w:val="28"/>
          <w:szCs w:val="28"/>
        </w:rPr>
        <w:t>附表2  防城港市海洋环境保护规划重点工程</w:t>
      </w:r>
      <w:bookmarkEnd w:id="41"/>
      <w:bookmarkEnd w:id="42"/>
    </w:p>
    <w:tbl>
      <w:tblPr>
        <w:tblStyle w:val="40"/>
        <w:tblW w:w="14742"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8"/>
        <w:gridCol w:w="652"/>
        <w:gridCol w:w="56"/>
        <w:gridCol w:w="711"/>
        <w:gridCol w:w="2975"/>
        <w:gridCol w:w="5823"/>
        <w:gridCol w:w="1342"/>
        <w:gridCol w:w="1256"/>
        <w:gridCol w:w="13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568" w:type="dxa"/>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序号</w:t>
            </w:r>
          </w:p>
        </w:tc>
        <w:tc>
          <w:tcPr>
            <w:tcW w:w="1419" w:type="dxa"/>
            <w:gridSpan w:val="3"/>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类型</w:t>
            </w:r>
          </w:p>
        </w:tc>
        <w:tc>
          <w:tcPr>
            <w:tcW w:w="2975" w:type="dxa"/>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项目名称</w:t>
            </w:r>
          </w:p>
        </w:tc>
        <w:tc>
          <w:tcPr>
            <w:tcW w:w="5823" w:type="dxa"/>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建设内容</w:t>
            </w:r>
          </w:p>
        </w:tc>
        <w:tc>
          <w:tcPr>
            <w:tcW w:w="1342" w:type="dxa"/>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实施主体</w:t>
            </w:r>
          </w:p>
        </w:tc>
        <w:tc>
          <w:tcPr>
            <w:tcW w:w="1256" w:type="dxa"/>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实施期限</w:t>
            </w:r>
          </w:p>
        </w:tc>
        <w:tc>
          <w:tcPr>
            <w:tcW w:w="1359" w:type="dxa"/>
            <w:vAlign w:val="center"/>
          </w:tcPr>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经费概算</w:t>
            </w:r>
          </w:p>
          <w:p>
            <w:pPr>
              <w:spacing w:line="240" w:lineRule="auto"/>
              <w:jc w:val="center"/>
              <w:rPr>
                <w:rFonts w:ascii="Times New Roman" w:hAnsi="Times New Roman" w:cs="Times New Roman" w:eastAsiaTheme="majorEastAsia"/>
                <w:b/>
                <w:color w:val="auto"/>
              </w:rPr>
            </w:pPr>
            <w:r>
              <w:rPr>
                <w:rFonts w:ascii="Times New Roman" w:hAnsi="Times New Roman" w:cs="Times New Roman" w:eastAsiaTheme="majorEastAsia"/>
                <w:b/>
                <w:color w:val="auto"/>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w:t>
            </w:r>
          </w:p>
        </w:tc>
        <w:tc>
          <w:tcPr>
            <w:tcW w:w="708" w:type="dxa"/>
            <w:gridSpan w:val="2"/>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污染防控</w:t>
            </w:r>
          </w:p>
        </w:tc>
        <w:tc>
          <w:tcPr>
            <w:tcW w:w="711" w:type="dxa"/>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流域海域城镇污染防控</w:t>
            </w: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污水处理设施提标改造</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提标改造防城港市污水处理厂、东兴市污水处理厂等现有污水处理设施达到一级A排放标准</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各县市</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2015-2017</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w:t>
            </w:r>
          </w:p>
        </w:tc>
        <w:tc>
          <w:tcPr>
            <w:tcW w:w="708"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711" w:type="dxa"/>
            <w:vMerge w:val="continue"/>
            <w:vAlign w:val="center"/>
          </w:tcPr>
          <w:p>
            <w:pPr>
              <w:spacing w:line="240" w:lineRule="auto"/>
              <w:jc w:val="center"/>
              <w:rPr>
                <w:rFonts w:ascii="Times New Roman" w:hAnsi="Times New Roman" w:cs="Times New Roman" w:eastAsiaTheme="majorEastAsia"/>
                <w:color w:val="auto"/>
              </w:rPr>
            </w:pPr>
          </w:p>
        </w:tc>
        <w:tc>
          <w:tcPr>
            <w:tcW w:w="2975" w:type="dxa"/>
          </w:tcPr>
          <w:p>
            <w:pPr>
              <w:spacing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t>江山半岛科教园区污水处理厂建设</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用地18亩，处理规模1万吨/日</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亿港公司</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7500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w:t>
            </w:r>
          </w:p>
        </w:tc>
        <w:tc>
          <w:tcPr>
            <w:tcW w:w="708"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711" w:type="dxa"/>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企沙新区污水处理厂建设</w:t>
            </w:r>
          </w:p>
        </w:tc>
        <w:tc>
          <w:tcPr>
            <w:tcW w:w="5823" w:type="dxa"/>
          </w:tcPr>
          <w:p>
            <w:pPr>
              <w:spacing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t>用地面积345亩，近期处理能力5万吨/日，远期处理能力20万吨/日，配套污水管网40千米</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北投水务公司</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2015-2017</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27000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4</w:t>
            </w:r>
          </w:p>
        </w:tc>
        <w:tc>
          <w:tcPr>
            <w:tcW w:w="708"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711" w:type="dxa"/>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白浪滩污水处理厂续建</w:t>
            </w:r>
          </w:p>
        </w:tc>
        <w:tc>
          <w:tcPr>
            <w:tcW w:w="5823" w:type="dxa"/>
          </w:tcPr>
          <w:p>
            <w:pPr>
              <w:spacing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t>用地面积18亩，处理规模1万吨/日，配套污水管网13千米</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亿港公司</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2015-2016</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4100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5</w:t>
            </w:r>
          </w:p>
        </w:tc>
        <w:tc>
          <w:tcPr>
            <w:tcW w:w="708"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711"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工业污染防控</w:t>
            </w: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工业园区污水集中处理设施建设</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建设企沙工业园、大西南临港工业园（含东湾物流加工园）、防城区工业园区、江平工业园4个工业集聚区污水集中处理设施，并安装自动在线监控装置</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各工业园区</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2015-2017</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6</w:t>
            </w:r>
          </w:p>
        </w:tc>
        <w:tc>
          <w:tcPr>
            <w:tcW w:w="708"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711"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养殖污染防控</w:t>
            </w:r>
          </w:p>
        </w:tc>
        <w:tc>
          <w:tcPr>
            <w:tcW w:w="2975"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养殖池塘标准化改造</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bCs/>
                <w:color w:val="auto"/>
              </w:rPr>
              <w:t>完成养殖池塘标准化改造7万亩</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市水产畜牧兽医局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7</w:t>
            </w:r>
          </w:p>
        </w:tc>
        <w:tc>
          <w:tcPr>
            <w:tcW w:w="708"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711"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港口污染防控</w:t>
            </w: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港区油污处理设施、污水处理设施及配套管网建设</w:t>
            </w:r>
          </w:p>
        </w:tc>
        <w:tc>
          <w:tcPr>
            <w:tcW w:w="5823" w:type="dxa"/>
          </w:tcPr>
          <w:p>
            <w:pPr>
              <w:spacing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t>在渔澫港区和企沙港区各建 1 座专业的油污水处理、及1 座洗箱污水处理厂，在渔澫港区设置生活污水处理站，其余港区建设生活污水管网</w:t>
            </w:r>
          </w:p>
        </w:tc>
        <w:tc>
          <w:tcPr>
            <w:tcW w:w="1342" w:type="dxa"/>
            <w:vAlign w:val="center"/>
          </w:tcPr>
          <w:p>
            <w:pPr>
              <w:spacing w:line="240" w:lineRule="auto"/>
              <w:jc w:val="center"/>
              <w:rPr>
                <w:rFonts w:ascii="Times New Roman" w:hAnsi="Times New Roman" w:cs="Times New Roman" w:eastAsiaTheme="majorEastAsia"/>
                <w:color w:val="auto"/>
              </w:rPr>
            </w:pP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8</w:t>
            </w:r>
          </w:p>
        </w:tc>
        <w:tc>
          <w:tcPr>
            <w:tcW w:w="1419" w:type="dxa"/>
            <w:gridSpan w:val="3"/>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海域环境</w:t>
            </w:r>
          </w:p>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整治</w:t>
            </w:r>
          </w:p>
        </w:tc>
        <w:tc>
          <w:tcPr>
            <w:tcW w:w="2975" w:type="dxa"/>
            <w:vAlign w:val="center"/>
          </w:tcPr>
          <w:p>
            <w:pPr>
              <w:widowControl/>
              <w:spacing w:before="240"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防城港西湾II区海域旧海堤拆除及疏浚工程项目</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在防城湾西湾北部防城江入海口的长榄岛与洲墩岛之间的海域开展清淤疏浚工程</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8000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9</w:t>
            </w:r>
          </w:p>
        </w:tc>
        <w:tc>
          <w:tcPr>
            <w:tcW w:w="1419" w:type="dxa"/>
            <w:gridSpan w:val="3"/>
            <w:vMerge w:val="continue"/>
            <w:vAlign w:val="center"/>
          </w:tcPr>
          <w:p>
            <w:pPr>
              <w:spacing w:line="240" w:lineRule="auto"/>
              <w:jc w:val="left"/>
              <w:rPr>
                <w:rFonts w:ascii="Times New Roman" w:hAnsi="Times New Roman" w:cs="Times New Roman" w:eastAsiaTheme="majorEastAsia"/>
                <w:color w:val="auto"/>
              </w:rPr>
            </w:pPr>
          </w:p>
        </w:tc>
        <w:tc>
          <w:tcPr>
            <w:tcW w:w="2975" w:type="dxa"/>
            <w:vAlign w:val="center"/>
          </w:tcPr>
          <w:p>
            <w:pPr>
              <w:widowControl/>
              <w:spacing w:before="240"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防城江入海口退堤还海综合整治项目</w:t>
            </w:r>
          </w:p>
        </w:tc>
        <w:tc>
          <w:tcPr>
            <w:tcW w:w="5823" w:type="dxa"/>
          </w:tcPr>
          <w:p>
            <w:pPr>
              <w:spacing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t>拆除长榄岛北部防城江入海口周围人工海堤及池塘，清除周边海域底泥，拓宽拓深海域水道</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4000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10</w:t>
            </w:r>
          </w:p>
        </w:tc>
        <w:tc>
          <w:tcPr>
            <w:tcW w:w="652" w:type="dxa"/>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生态保护与修复</w:t>
            </w:r>
          </w:p>
        </w:tc>
        <w:tc>
          <w:tcPr>
            <w:tcW w:w="767" w:type="dxa"/>
            <w:gridSpan w:val="2"/>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保护区建设</w:t>
            </w:r>
          </w:p>
        </w:tc>
        <w:tc>
          <w:tcPr>
            <w:tcW w:w="2975" w:type="dxa"/>
            <w:vAlign w:val="center"/>
          </w:tcPr>
          <w:p>
            <w:pPr>
              <w:widowControl/>
              <w:spacing w:before="240"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北仑河口保护区湿地保护基金项目</w:t>
            </w:r>
          </w:p>
        </w:tc>
        <w:tc>
          <w:tcPr>
            <w:tcW w:w="5823" w:type="dxa"/>
            <w:vAlign w:val="center"/>
          </w:tcPr>
          <w:p>
            <w:pPr>
              <w:widowControl/>
              <w:spacing w:before="240"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t>建设鸟类驯养基地、可视化监控设施、海草床海上看护设施</w:t>
            </w:r>
          </w:p>
        </w:tc>
        <w:tc>
          <w:tcPr>
            <w:tcW w:w="1342" w:type="dxa"/>
            <w:vMerge w:val="restart"/>
            <w:vAlign w:val="center"/>
          </w:tcPr>
          <w:p>
            <w:pPr>
              <w:spacing w:before="240"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广西北仑河口国家级自然保护区管理处</w:t>
            </w:r>
          </w:p>
        </w:tc>
        <w:tc>
          <w:tcPr>
            <w:tcW w:w="1256" w:type="dxa"/>
            <w:vAlign w:val="center"/>
          </w:tcPr>
          <w:p>
            <w:pPr>
              <w:widowControl/>
              <w:spacing w:before="240"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1799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11</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widowControl/>
              <w:spacing w:before="240"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石角退化红树林区系统修复工程</w:t>
            </w:r>
          </w:p>
        </w:tc>
        <w:tc>
          <w:tcPr>
            <w:tcW w:w="5823" w:type="dxa"/>
            <w:vAlign w:val="center"/>
          </w:tcPr>
          <w:p>
            <w:pPr>
              <w:widowControl/>
              <w:spacing w:before="240"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t>开展对退化次生红树林、滨海过渡带植被、废弃虾塘生态的修复</w:t>
            </w:r>
          </w:p>
        </w:tc>
        <w:tc>
          <w:tcPr>
            <w:tcW w:w="1342" w:type="dxa"/>
            <w:vMerge w:val="continue"/>
            <w:vAlign w:val="center"/>
          </w:tcPr>
          <w:p>
            <w:pPr>
              <w:widowControl/>
              <w:spacing w:before="240" w:line="240" w:lineRule="auto"/>
              <w:jc w:val="center"/>
              <w:rPr>
                <w:rFonts w:ascii="Times New Roman" w:hAnsi="Times New Roman" w:cs="Times New Roman" w:eastAsiaTheme="majorEastAsia"/>
                <w:color w:val="auto"/>
              </w:rPr>
            </w:pPr>
          </w:p>
        </w:tc>
        <w:tc>
          <w:tcPr>
            <w:tcW w:w="1256" w:type="dxa"/>
            <w:vAlign w:val="center"/>
          </w:tcPr>
          <w:p>
            <w:pPr>
              <w:widowControl/>
              <w:spacing w:before="240"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12</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石角红树林生态</w:t>
            </w:r>
            <w:r>
              <w:rPr>
                <w:rFonts w:hint="eastAsia" w:ascii="Times New Roman" w:hAnsi="Times New Roman" w:cs="Times New Roman" w:eastAsiaTheme="majorEastAsia"/>
                <w:color w:val="auto"/>
              </w:rPr>
              <w:t>科普教育</w:t>
            </w:r>
            <w:r>
              <w:rPr>
                <w:rFonts w:ascii="Times New Roman" w:hAnsi="Times New Roman" w:cs="Times New Roman" w:eastAsiaTheme="majorEastAsia"/>
                <w:color w:val="auto"/>
              </w:rPr>
              <w:t>示范区建成</w:t>
            </w:r>
          </w:p>
        </w:tc>
        <w:tc>
          <w:tcPr>
            <w:tcW w:w="5823" w:type="dxa"/>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建设红树林博物馆、景区大门、巡护道路、博物馆展馆陈设</w:t>
            </w:r>
          </w:p>
        </w:tc>
        <w:tc>
          <w:tcPr>
            <w:tcW w:w="1342" w:type="dxa"/>
            <w:vMerge w:val="continue"/>
            <w:vAlign w:val="center"/>
          </w:tcPr>
          <w:p>
            <w:pPr>
              <w:spacing w:line="240" w:lineRule="auto"/>
              <w:jc w:val="center"/>
              <w:rPr>
                <w:rFonts w:ascii="Times New Roman" w:hAnsi="Times New Roman" w:cs="Times New Roman" w:eastAsiaTheme="majorEastAsia"/>
                <w:color w:val="auto"/>
              </w:rPr>
            </w:pP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13</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西湾国家海洋公园筹建</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新增建设防城港西湾国家海洋公园</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14</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防城港东湾红树林海洋特别保护区筹建</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用海面积3.14平方千米，占用岸线4千米</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15</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广西近海南部海洋特别保护区筹建</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用海面积275.81平方千米</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16</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岸线整治修复</w:t>
            </w:r>
          </w:p>
        </w:tc>
        <w:tc>
          <w:tcPr>
            <w:tcW w:w="2975" w:type="dxa"/>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广西防城港市西湾红沙环生态海堤整治创新示范工程项目三期工程</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在一、二期项目建设基础上，完善三期工程建设，进一步美化岸线景观，开展生态修复</w:t>
            </w:r>
            <w:r>
              <w:rPr>
                <w:rFonts w:ascii="Times New Roman" w:hAnsi="Times New Roman" w:cs="Times New Roman" w:eastAsiaTheme="majorEastAsia"/>
                <w:color w:val="auto"/>
              </w:rPr>
              <w:tab/>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17</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防城港市海岸保护与整治</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实施东湾西岸沿岸生态海堤工程和海堤结合道路，涵闸等</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防城港市港口区城市建设投资有限公司</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19916.06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18</w:t>
            </w:r>
          </w:p>
        </w:tc>
        <w:tc>
          <w:tcPr>
            <w:tcW w:w="652" w:type="dxa"/>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山新岸线整治</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开展港口区山新受损岸线的清淤、岸线修复及沿岸植被修复</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港口区人民政府</w:t>
            </w:r>
          </w:p>
        </w:tc>
        <w:tc>
          <w:tcPr>
            <w:tcW w:w="1256"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6000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19</w:t>
            </w:r>
          </w:p>
        </w:tc>
        <w:tc>
          <w:tcPr>
            <w:tcW w:w="652" w:type="dxa"/>
            <w:vMerge w:val="restart"/>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bCs/>
                <w:color w:val="auto"/>
              </w:rPr>
              <w:t>沿海重点海域海堤建设</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bCs/>
                <w:color w:val="auto"/>
              </w:rPr>
              <w:t>在沿海风沙侵蚀严重的区域，建设生态海堤，沿线布设涵洞</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市水利局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57300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典型生境修复</w:t>
            </w: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广西北仑河口国家级自然保护区红树林虫害防治</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开展虫害监测、虫害防治设施设备购置安装、虫害防治科学实验研究</w:t>
            </w:r>
          </w:p>
        </w:tc>
        <w:tc>
          <w:tcPr>
            <w:tcW w:w="1342" w:type="dxa"/>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广西北仑河口国家级自然保护区管理处</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21</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广西防城港市红树林生态修复示范工程</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在北仑河口保护区开展红树林造林工程、人工管护工程、动态监测与效果评估工程，新增红树林0.3平方千米</w:t>
            </w:r>
          </w:p>
        </w:tc>
        <w:tc>
          <w:tcPr>
            <w:tcW w:w="1342" w:type="dxa"/>
            <w:vMerge w:val="continue"/>
            <w:vAlign w:val="center"/>
          </w:tcPr>
          <w:p>
            <w:pPr>
              <w:spacing w:line="240" w:lineRule="auto"/>
              <w:jc w:val="center"/>
              <w:rPr>
                <w:rFonts w:ascii="Times New Roman" w:hAnsi="Times New Roman" w:cs="Times New Roman" w:eastAsiaTheme="majorEastAsia"/>
                <w:color w:val="auto"/>
              </w:rPr>
            </w:pPr>
          </w:p>
        </w:tc>
        <w:tc>
          <w:tcPr>
            <w:tcW w:w="1256"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2016-2018</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22</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白龙尾珊瑚保护示范区建设</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开展白龙尾珊瑚修复</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23</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海岛生态保护</w:t>
            </w:r>
          </w:p>
        </w:tc>
        <w:tc>
          <w:tcPr>
            <w:tcW w:w="2975" w:type="dxa"/>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防城港市西湾长榄岛岛体岸线修复整治</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沿长榄岛周围布置7280 m围堤作为永久护岸，开展护堤景观美化工程</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市土地储备中心</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7000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24</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海岛整治修复</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实施防城江入海口海岛整治修复工程</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25</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Merge w:val="continue"/>
            <w:vAlign w:val="center"/>
          </w:tcPr>
          <w:p>
            <w:pPr>
              <w:spacing w:line="240" w:lineRule="auto"/>
              <w:jc w:val="center"/>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山心沙岛生态修复</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color w:val="auto"/>
              </w:rPr>
              <w:t>开展沙滩修复、植被修复、及基础设施建设工程</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港口区人民政府</w:t>
            </w:r>
          </w:p>
        </w:tc>
        <w:tc>
          <w:tcPr>
            <w:tcW w:w="1256"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6800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26</w:t>
            </w:r>
          </w:p>
        </w:tc>
        <w:tc>
          <w:tcPr>
            <w:tcW w:w="652" w:type="dxa"/>
            <w:vMerge w:val="continue"/>
            <w:vAlign w:val="center"/>
          </w:tcPr>
          <w:p>
            <w:pPr>
              <w:spacing w:line="240" w:lineRule="auto"/>
              <w:jc w:val="center"/>
              <w:rPr>
                <w:rFonts w:ascii="Times New Roman" w:hAnsi="Times New Roman" w:cs="Times New Roman" w:eastAsiaTheme="majorEastAsia"/>
                <w:color w:val="auto"/>
              </w:rPr>
            </w:pPr>
          </w:p>
        </w:tc>
        <w:tc>
          <w:tcPr>
            <w:tcW w:w="767" w:type="dxa"/>
            <w:gridSpan w:val="2"/>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滨海植被修复</w:t>
            </w:r>
          </w:p>
        </w:tc>
        <w:tc>
          <w:tcPr>
            <w:tcW w:w="2975"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沿海防护林建设</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bCs/>
                <w:color w:val="auto"/>
              </w:rPr>
              <w:t>修复沿海基干林带50千米</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市林业局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27</w:t>
            </w:r>
          </w:p>
        </w:tc>
        <w:tc>
          <w:tcPr>
            <w:tcW w:w="1419" w:type="dxa"/>
            <w:gridSpan w:val="3"/>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海洋牧场</w:t>
            </w:r>
          </w:p>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建设</w:t>
            </w:r>
          </w:p>
        </w:tc>
        <w:tc>
          <w:tcPr>
            <w:tcW w:w="2975" w:type="dxa"/>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国家级现代海洋牧场示范区建设</w:t>
            </w:r>
          </w:p>
        </w:tc>
        <w:tc>
          <w:tcPr>
            <w:tcW w:w="5823" w:type="dxa"/>
            <w:vAlign w:val="center"/>
          </w:tcPr>
          <w:p>
            <w:pPr>
              <w:spacing w:line="240" w:lineRule="auto"/>
              <w:rPr>
                <w:rFonts w:ascii="Times New Roman" w:hAnsi="Times New Roman" w:cs="Times New Roman" w:eastAsiaTheme="majorEastAsia"/>
                <w:color w:val="auto"/>
              </w:rPr>
            </w:pPr>
            <w:r>
              <w:rPr>
                <w:rFonts w:ascii="Times New Roman" w:hAnsi="Times New Roman" w:cs="Times New Roman" w:eastAsiaTheme="majorEastAsia"/>
                <w:bCs/>
                <w:color w:val="auto"/>
              </w:rPr>
              <w:t>在白龙珍珠湾外海投放人工鱼礁15万空立方米以上，年增殖放流渔业种苗达1亿尾以上</w:t>
            </w:r>
          </w:p>
        </w:tc>
        <w:tc>
          <w:tcPr>
            <w:tcW w:w="1342"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市水产畜牧兽医局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28</w:t>
            </w:r>
          </w:p>
        </w:tc>
        <w:tc>
          <w:tcPr>
            <w:tcW w:w="1419" w:type="dxa"/>
            <w:gridSpan w:val="3"/>
            <w:vMerge w:val="restart"/>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保护能力</w:t>
            </w:r>
          </w:p>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建设</w:t>
            </w:r>
          </w:p>
        </w:tc>
        <w:tc>
          <w:tcPr>
            <w:tcW w:w="2975" w:type="dxa"/>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防城港湾环境承载力评价与环境监控可视化示范平台建设</w:t>
            </w:r>
          </w:p>
        </w:tc>
        <w:tc>
          <w:tcPr>
            <w:tcW w:w="5823"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放置6套海洋浮标站及可视化平台，开展海上44个站生态环境调查，构建防城港海域生态环境背景数据调查及数据库构建，及评价防城港西湾环境承载力等</w:t>
            </w:r>
          </w:p>
        </w:tc>
        <w:tc>
          <w:tcPr>
            <w:tcW w:w="1342"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2016-2017</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1700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29</w:t>
            </w:r>
          </w:p>
        </w:tc>
        <w:tc>
          <w:tcPr>
            <w:tcW w:w="1419" w:type="dxa"/>
            <w:gridSpan w:val="3"/>
            <w:vMerge w:val="continue"/>
            <w:vAlign w:val="center"/>
          </w:tcPr>
          <w:p>
            <w:pPr>
              <w:spacing w:line="240" w:lineRule="auto"/>
              <w:jc w:val="left"/>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color w:val="auto"/>
              </w:rPr>
              <w:t>船舶溢油应急设备库建设</w:t>
            </w:r>
          </w:p>
        </w:tc>
        <w:tc>
          <w:tcPr>
            <w:tcW w:w="5823"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在海事码头后方建设沿海小型溢油应急设备库1个，用海面积0.0135平方千米，建成处理能力可应对200吨海上溢油事故</w:t>
            </w:r>
          </w:p>
        </w:tc>
        <w:tc>
          <w:tcPr>
            <w:tcW w:w="1342"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防城港海事局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2368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30</w:t>
            </w:r>
          </w:p>
        </w:tc>
        <w:tc>
          <w:tcPr>
            <w:tcW w:w="1419" w:type="dxa"/>
            <w:gridSpan w:val="3"/>
            <w:vMerge w:val="continue"/>
            <w:vAlign w:val="center"/>
          </w:tcPr>
          <w:p>
            <w:pPr>
              <w:spacing w:line="240" w:lineRule="auto"/>
              <w:jc w:val="left"/>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color w:val="auto"/>
              </w:rPr>
              <w:t>核辐射监测能力建设</w:t>
            </w:r>
          </w:p>
        </w:tc>
        <w:tc>
          <w:tcPr>
            <w:tcW w:w="5823"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建成海洋放射性监测实验室以及核应急防护器材库各1个</w:t>
            </w:r>
          </w:p>
        </w:tc>
        <w:tc>
          <w:tcPr>
            <w:tcW w:w="1342"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bCs/>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31</w:t>
            </w:r>
          </w:p>
        </w:tc>
        <w:tc>
          <w:tcPr>
            <w:tcW w:w="1419" w:type="dxa"/>
            <w:gridSpan w:val="3"/>
            <w:vMerge w:val="continue"/>
            <w:vAlign w:val="center"/>
          </w:tcPr>
          <w:p>
            <w:pPr>
              <w:spacing w:line="240" w:lineRule="auto"/>
              <w:jc w:val="left"/>
              <w:rPr>
                <w:rFonts w:ascii="Times New Roman" w:hAnsi="Times New Roman" w:cs="Times New Roman" w:eastAsiaTheme="majorEastAsia"/>
                <w:color w:val="auto"/>
              </w:rPr>
            </w:pPr>
          </w:p>
        </w:tc>
        <w:tc>
          <w:tcPr>
            <w:tcW w:w="2975"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自动监测能力建设</w:t>
            </w:r>
          </w:p>
        </w:tc>
        <w:tc>
          <w:tcPr>
            <w:tcW w:w="5823"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开展自动监测浮标布设及维护</w:t>
            </w:r>
          </w:p>
        </w:tc>
        <w:tc>
          <w:tcPr>
            <w:tcW w:w="1342"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68"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32</w:t>
            </w:r>
          </w:p>
        </w:tc>
        <w:tc>
          <w:tcPr>
            <w:tcW w:w="1419" w:type="dxa"/>
            <w:gridSpan w:val="3"/>
            <w:vMerge w:val="continue"/>
            <w:vAlign w:val="center"/>
          </w:tcPr>
          <w:p>
            <w:pPr>
              <w:spacing w:line="240" w:lineRule="auto"/>
              <w:jc w:val="left"/>
              <w:rPr>
                <w:rFonts w:ascii="Times New Roman" w:hAnsi="Times New Roman" w:cs="Times New Roman" w:eastAsiaTheme="majorEastAsia"/>
                <w:color w:val="auto"/>
              </w:rPr>
            </w:pPr>
          </w:p>
        </w:tc>
        <w:tc>
          <w:tcPr>
            <w:tcW w:w="2975" w:type="dxa"/>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近岸海域环境风险评估</w:t>
            </w:r>
          </w:p>
        </w:tc>
        <w:tc>
          <w:tcPr>
            <w:tcW w:w="5823" w:type="dxa"/>
            <w:vAlign w:val="center"/>
          </w:tcPr>
          <w:p>
            <w:pPr>
              <w:spacing w:line="240" w:lineRule="auto"/>
              <w:rPr>
                <w:rFonts w:ascii="Times New Roman" w:hAnsi="Times New Roman" w:cs="Times New Roman" w:eastAsiaTheme="majorEastAsia"/>
                <w:bCs/>
                <w:color w:val="auto"/>
              </w:rPr>
            </w:pPr>
            <w:r>
              <w:rPr>
                <w:rFonts w:ascii="Times New Roman" w:hAnsi="Times New Roman" w:cs="Times New Roman" w:eastAsiaTheme="majorEastAsia"/>
                <w:bCs/>
                <w:color w:val="auto"/>
              </w:rPr>
              <w:t>开展核电、金川等重大工业项目所在海域风险评估</w:t>
            </w:r>
          </w:p>
        </w:tc>
        <w:tc>
          <w:tcPr>
            <w:tcW w:w="1342" w:type="dxa"/>
            <w:vAlign w:val="center"/>
          </w:tcPr>
          <w:p>
            <w:pPr>
              <w:spacing w:line="240" w:lineRule="auto"/>
              <w:jc w:val="center"/>
              <w:rPr>
                <w:rFonts w:ascii="Times New Roman" w:hAnsi="Times New Roman" w:cs="Times New Roman" w:eastAsiaTheme="majorEastAsia"/>
                <w:bCs/>
                <w:color w:val="auto"/>
              </w:rPr>
            </w:pPr>
            <w:r>
              <w:rPr>
                <w:rFonts w:ascii="Times New Roman" w:hAnsi="Times New Roman" w:cs="Times New Roman" w:eastAsiaTheme="majorEastAsia"/>
                <w:bCs/>
                <w:color w:val="auto"/>
              </w:rPr>
              <w:t>市海洋局</w:t>
            </w:r>
          </w:p>
        </w:tc>
        <w:tc>
          <w:tcPr>
            <w:tcW w:w="1256"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2016-2020</w:t>
            </w:r>
          </w:p>
        </w:tc>
        <w:tc>
          <w:tcPr>
            <w:tcW w:w="1359" w:type="dxa"/>
            <w:vAlign w:val="center"/>
          </w:tcPr>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t>500</w:t>
            </w:r>
          </w:p>
        </w:tc>
      </w:tr>
    </w:tbl>
    <w:p>
      <w:pPr>
        <w:rPr>
          <w:rFonts w:ascii="Times New Roman" w:hAnsi="Times New Roman" w:cs="Times New Roman" w:eastAsiaTheme="majorEastAsia"/>
          <w:color w:val="auto"/>
        </w:rPr>
      </w:pPr>
    </w:p>
    <w:p>
      <w:pPr>
        <w:rPr>
          <w:rFonts w:ascii="Times New Roman" w:hAnsi="Times New Roman" w:cs="Times New Roman" w:eastAsiaTheme="majorEastAsia"/>
          <w:color w:val="auto"/>
        </w:rPr>
      </w:pPr>
    </w:p>
    <w:p>
      <w:pPr>
        <w:widowControl/>
        <w:tabs>
          <w:tab w:val="clear" w:pos="750"/>
        </w:tabs>
        <w:spacing w:line="240" w:lineRule="auto"/>
        <w:jc w:val="left"/>
        <w:rPr>
          <w:rFonts w:ascii="Times New Roman" w:hAnsi="Times New Roman" w:cs="Times New Roman" w:eastAsiaTheme="majorEastAsia"/>
          <w:color w:val="auto"/>
        </w:rPr>
        <w:sectPr>
          <w:pgSz w:w="16839" w:h="11907" w:orient="landscape"/>
          <w:pgMar w:top="1797" w:right="1440" w:bottom="1797" w:left="1440" w:header="851" w:footer="992" w:gutter="0"/>
          <w:cols w:space="425" w:num="1"/>
          <w:docGrid w:type="lines" w:linePitch="326" w:charSpace="0"/>
        </w:sectPr>
      </w:pPr>
      <w:r>
        <w:rPr>
          <w:rFonts w:ascii="Times New Roman" w:hAnsi="Times New Roman" w:cs="Times New Roman" w:eastAsiaTheme="majorEastAsia"/>
          <w:color w:val="auto"/>
        </w:rPr>
        <w:br w:type="page"/>
      </w:r>
    </w:p>
    <w:p>
      <w:pPr>
        <w:ind w:left="-282" w:leftChars="-118" w:hanging="1"/>
        <w:jc w:val="center"/>
        <w:rPr>
          <w:rFonts w:ascii="Times New Roman" w:hAnsi="Times New Roman" w:cs="Times New Roman" w:eastAsiaTheme="majorEastAsia"/>
          <w:color w:val="auto"/>
        </w:rPr>
      </w:pPr>
      <w:r>
        <w:rPr>
          <w:rFonts w:ascii="Times New Roman" w:hAnsi="Times New Roman" w:cs="Times New Roman" w:eastAsiaTheme="majorEastAsia"/>
          <w:color w:val="auto"/>
        </w:rPr>
        <w:drawing>
          <wp:inline distT="0" distB="0" distL="0" distR="0">
            <wp:extent cx="8905875" cy="11830050"/>
            <wp:effectExtent l="19050" t="0" r="9525" b="0"/>
            <wp:docPr id="1" name="图片 0" descr="四分区示意图20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四分区示意图201801.jpg"/>
                    <pic:cNvPicPr>
                      <a:picLocks noChangeAspect="1"/>
                    </pic:cNvPicPr>
                  </pic:nvPicPr>
                  <pic:blipFill>
                    <a:blip r:embed="rId13" cstate="print"/>
                    <a:srcRect t="3646"/>
                    <a:stretch>
                      <a:fillRect/>
                    </a:stretch>
                  </pic:blipFill>
                  <pic:spPr>
                    <a:xfrm>
                      <a:off x="0" y="0"/>
                      <a:ext cx="8905875" cy="11830050"/>
                    </a:xfrm>
                    <a:prstGeom prst="rect">
                      <a:avLst/>
                    </a:prstGeom>
                  </pic:spPr>
                </pic:pic>
              </a:graphicData>
            </a:graphic>
          </wp:inline>
        </w:drawing>
      </w:r>
    </w:p>
    <w:p>
      <w:pPr>
        <w:pStyle w:val="2"/>
        <w:tabs>
          <w:tab w:val="clear" w:pos="750"/>
        </w:tabs>
        <w:spacing w:before="120" w:after="120" w:line="360" w:lineRule="auto"/>
        <w:jc w:val="center"/>
        <w:rPr>
          <w:rFonts w:ascii="Times New Roman" w:hAnsi="Times New Roman" w:eastAsiaTheme="majorEastAsia"/>
          <w:color w:val="auto"/>
          <w:sz w:val="28"/>
          <w:szCs w:val="28"/>
        </w:rPr>
      </w:pPr>
      <w:bookmarkStart w:id="43" w:name="_Toc441676978"/>
      <w:r>
        <w:rPr>
          <w:rFonts w:ascii="Times New Roman" w:hAnsi="Times New Roman" w:eastAsiaTheme="majorEastAsia"/>
          <w:color w:val="auto"/>
          <w:sz w:val="28"/>
          <w:szCs w:val="28"/>
        </w:rPr>
        <w:t>附图1  防城港市近岸海洋环境保护与建设空间布局图</w:t>
      </w:r>
      <w:bookmarkEnd w:id="43"/>
    </w:p>
    <w:p>
      <w:pPr>
        <w:ind w:left="-282" w:leftChars="-118" w:hanging="1"/>
        <w:jc w:val="center"/>
        <w:rPr>
          <w:rFonts w:ascii="Times New Roman" w:hAnsi="Times New Roman" w:cs="Times New Roman" w:eastAsiaTheme="majorEastAsia"/>
          <w:color w:val="auto"/>
        </w:rPr>
      </w:pPr>
    </w:p>
    <w:p>
      <w:pPr>
        <w:widowControl/>
        <w:tabs>
          <w:tab w:val="clear" w:pos="750"/>
        </w:tabs>
        <w:spacing w:line="240" w:lineRule="auto"/>
        <w:jc w:val="left"/>
        <w:rPr>
          <w:rFonts w:ascii="Times New Roman" w:hAnsi="Times New Roman" w:cs="Times New Roman" w:eastAsiaTheme="majorEastAsia"/>
          <w:color w:val="auto"/>
        </w:rPr>
      </w:pPr>
      <w:r>
        <w:rPr>
          <w:rFonts w:ascii="Times New Roman" w:hAnsi="Times New Roman" w:cs="Times New Roman" w:eastAsiaTheme="majorEastAsia"/>
          <w:color w:val="auto"/>
        </w:rPr>
        <w:br w:type="page"/>
      </w:r>
    </w:p>
    <w:p>
      <w:pPr>
        <w:widowControl/>
        <w:tabs>
          <w:tab w:val="clear" w:pos="750"/>
        </w:tabs>
        <w:spacing w:line="240" w:lineRule="auto"/>
        <w:ind w:left="-283" w:leftChars="-118"/>
        <w:rPr>
          <w:rFonts w:ascii="Times New Roman" w:hAnsi="Times New Roman" w:cs="Times New Roman" w:eastAsiaTheme="majorEastAsia"/>
          <w:color w:val="auto"/>
        </w:rPr>
        <w:sectPr>
          <w:pgSz w:w="16839" w:h="23814"/>
          <w:pgMar w:top="1440" w:right="1797" w:bottom="1440" w:left="1797" w:header="851" w:footer="992" w:gutter="0"/>
          <w:cols w:space="425" w:num="1"/>
          <w:docGrid w:type="lines" w:linePitch="326" w:charSpace="0"/>
        </w:sectPr>
      </w:pPr>
    </w:p>
    <w:p>
      <w:pPr>
        <w:spacing w:line="240" w:lineRule="auto"/>
        <w:jc w:val="center"/>
        <w:rPr>
          <w:rFonts w:ascii="Times New Roman" w:hAnsi="Times New Roman" w:cs="Times New Roman" w:eastAsiaTheme="majorEastAsia"/>
          <w:color w:val="auto"/>
        </w:rPr>
      </w:pPr>
      <w:r>
        <w:rPr>
          <w:rFonts w:ascii="Times New Roman" w:hAnsi="Times New Roman" w:cs="Times New Roman" w:eastAsiaTheme="majorEastAsia"/>
          <w:color w:val="auto"/>
        </w:rPr>
        <w:drawing>
          <wp:inline distT="0" distB="0" distL="0" distR="0">
            <wp:extent cx="13289280" cy="8435340"/>
            <wp:effectExtent l="19050" t="0" r="7414" b="0"/>
            <wp:docPr id="8" name="图片 7" descr="附图2（水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附图2（水印）.tif"/>
                    <pic:cNvPicPr>
                      <a:picLocks noChangeAspect="1"/>
                    </pic:cNvPicPr>
                  </pic:nvPicPr>
                  <pic:blipFill>
                    <a:blip r:embed="rId14" cstate="print"/>
                    <a:srcRect t="4833"/>
                    <a:stretch>
                      <a:fillRect/>
                    </a:stretch>
                  </pic:blipFill>
                  <pic:spPr>
                    <a:xfrm>
                      <a:off x="0" y="0"/>
                      <a:ext cx="13289486" cy="8435546"/>
                    </a:xfrm>
                    <a:prstGeom prst="rect">
                      <a:avLst/>
                    </a:prstGeom>
                  </pic:spPr>
                </pic:pic>
              </a:graphicData>
            </a:graphic>
          </wp:inline>
        </w:drawing>
      </w:r>
    </w:p>
    <w:p>
      <w:pPr>
        <w:pStyle w:val="2"/>
        <w:tabs>
          <w:tab w:val="clear" w:pos="750"/>
        </w:tabs>
        <w:spacing w:before="0" w:after="0" w:line="240" w:lineRule="auto"/>
        <w:jc w:val="center"/>
        <w:rPr>
          <w:rFonts w:ascii="Times New Roman" w:hAnsi="Times New Roman" w:eastAsiaTheme="majorEastAsia"/>
          <w:color w:val="auto"/>
          <w:sz w:val="28"/>
          <w:szCs w:val="28"/>
        </w:rPr>
      </w:pPr>
      <w:bookmarkStart w:id="44" w:name="_Toc441676979"/>
      <w:r>
        <w:rPr>
          <w:rFonts w:ascii="Times New Roman" w:hAnsi="Times New Roman" w:eastAsiaTheme="majorEastAsia"/>
          <w:color w:val="auto"/>
          <w:sz w:val="28"/>
          <w:szCs w:val="28"/>
        </w:rPr>
        <w:t>附图2  防城港市近岸海洋环境监测站位分布图</w:t>
      </w:r>
      <w:bookmarkEnd w:id="44"/>
    </w:p>
    <w:p>
      <w:pPr>
        <w:spacing w:line="240" w:lineRule="auto"/>
        <w:jc w:val="center"/>
        <w:rPr>
          <w:rFonts w:ascii="Times New Roman" w:hAnsi="Times New Roman" w:cs="Times New Roman" w:eastAsiaTheme="majorEastAsia"/>
          <w:color w:val="auto"/>
        </w:rPr>
      </w:pPr>
    </w:p>
    <w:bookmarkEnd w:id="45"/>
    <w:sectPr>
      <w:pgSz w:w="23814" w:h="16839" w:orient="landscape"/>
      <w:pgMar w:top="1276" w:right="1440" w:bottom="568" w:left="1440" w:header="851" w:footer="992" w:gutter="0"/>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jc w:val="center"/>
      <w:rPr>
        <w:rFonts w:ascii="Times New Roman" w:hAnsi="Times New Roman" w:cs="Times New Roman"/>
      </w:rPr>
    </w:pPr>
  </w:p>
  <w:p>
    <w:pPr>
      <w:pStyle w:val="2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87945875"/>
    </w:sdtPr>
    <w:sdtEndPr>
      <w:rPr>
        <w:rFonts w:ascii="Times New Roman" w:hAnsi="Times New Roman" w:cs="Times New Roman"/>
      </w:rPr>
    </w:sdtEndPr>
    <w:sdtContent>
      <w:p>
        <w:pPr>
          <w:pStyle w:val="21"/>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35</w:t>
        </w:r>
        <w:r>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id="0">
    <w:p>
      <w:pPr>
        <w:pStyle w:val="25"/>
      </w:pPr>
      <w:r>
        <w:rPr>
          <w:rStyle w:val="38"/>
        </w:rPr>
        <w:footnoteRef/>
      </w:r>
      <w:r>
        <w:t xml:space="preserve"> </w:t>
      </w:r>
      <w:r>
        <w:rPr>
          <w:rFonts w:hint="eastAsia"/>
        </w:rPr>
        <w:t>数据来源：</w:t>
      </w:r>
      <w:r>
        <w:rPr>
          <w:rFonts w:ascii="Times New Roman" w:hAnsi="Times New Roman" w:cs="Times New Roman"/>
        </w:rPr>
        <w:t>2010</w:t>
      </w:r>
      <w:r>
        <w:rPr>
          <w:rFonts w:ascii="Times New Roman" w:cs="Times New Roman"/>
        </w:rPr>
        <w:t>年</w:t>
      </w:r>
      <w:r>
        <w:rPr>
          <w:rFonts w:ascii="Times New Roman" w:hAnsi="Times New Roman" w:cs="Times New Roman"/>
        </w:rPr>
        <w:t>-2015</w:t>
      </w:r>
      <w:r>
        <w:rPr>
          <w:rFonts w:hint="eastAsia"/>
        </w:rPr>
        <w:t>年防城港市海洋环境质量公报。</w:t>
      </w:r>
    </w:p>
  </w:footnote>
  <w:footnote w:id="1">
    <w:p>
      <w:pPr>
        <w:pStyle w:val="25"/>
      </w:pPr>
      <w:r>
        <w:rPr>
          <w:rStyle w:val="38"/>
        </w:rPr>
        <w:footnoteRef/>
      </w:r>
      <w:r>
        <w:t xml:space="preserve"> </w:t>
      </w:r>
      <w:r>
        <w:rPr>
          <w:rFonts w:hint="eastAsia"/>
        </w:rPr>
        <w:t>数据来源：《防城港市入海污染物排放总量控制研究与规划》（报批稿）；</w:t>
      </w:r>
    </w:p>
  </w:footnote>
  <w:footnote w:id="2">
    <w:p>
      <w:pPr>
        <w:pStyle w:val="25"/>
      </w:pPr>
      <w:r>
        <w:rPr>
          <w:rStyle w:val="38"/>
        </w:rPr>
        <w:footnoteRef/>
      </w:r>
      <w:r>
        <w:rPr>
          <w:rFonts w:hint="eastAsia"/>
        </w:rPr>
        <w:t xml:space="preserve"> 数据来源：《防城港港口总体规划</w:t>
      </w:r>
      <w:r>
        <w:rPr>
          <w:rFonts w:ascii="Times New Roman" w:cs="Times New Roman"/>
        </w:rPr>
        <w:t>（</w:t>
      </w:r>
      <w:r>
        <w:rPr>
          <w:rFonts w:ascii="Times New Roman" w:hAnsi="Times New Roman" w:cs="Times New Roman"/>
        </w:rPr>
        <w:t>2016-2030</w:t>
      </w:r>
      <w:r>
        <w:rPr>
          <w:rFonts w:hint="eastAsia"/>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pict>
        <v:shape id="PowerPlusWaterMarkObject29240937" o:spid="_x0000_s4098" o:spt="136" type="#_x0000_t136" style="position:absolute;left:0pt;height:146.4pt;width:439.2pt;mso-position-horizontal:center;mso-position-horizontal-relative:margin;mso-position-vertical:center;mso-position-vertical-relative:margin;rotation:20643840f;z-index:-251654144;mso-width-relative:page;mso-height-relative:page;" fillcolor="#C0C0C0" filled="t" stroked="f" coordsize="21600,21600" o:allowincell="f">
          <v:path/>
          <v:fill on="t" opacity="32768f" focussize="0,0"/>
          <v:stroke on="f"/>
          <v:imagedata o:title=""/>
          <o:lock v:ext="edit"/>
          <v:textpath on="t" fitshape="t" fitpath="t" trim="t" xscale="f" string="报批稿" style="font-family:宋体;font-size:1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pict>
        <v:shape id="PowerPlusWaterMarkObject29240936" o:spid="_x0000_s4097" o:spt="136" type="#_x0000_t136" style="position:absolute;left:0pt;height:146.4pt;width:439.2pt;mso-position-horizontal:center;mso-position-horizontal-relative:margin;mso-position-vertical:center;mso-position-vertical-relative:margin;rotation:20643840f;z-index:-251656192;mso-width-relative:page;mso-height-relative:page;" fillcolor="#C0C0C0" filled="t" stroked="f" coordsize="21600,21600" o:allowincell="f">
          <v:path/>
          <v:fill on="t" opacity="32768f" focussize="0,0"/>
          <v:stroke on="f"/>
          <v:imagedata o:title=""/>
          <o:lock v:ext="edit"/>
          <v:textpath on="t" fitshape="t" fitpath="t" trim="t" xscale="f" string="报批稿"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pict>
        <v:shape id="PowerPlusWaterMarkObject29240941" o:spid="_x0000_s4100" o:spt="136" type="#_x0000_t136" style="position:absolute;left:0pt;height:146.4pt;width:439.2pt;mso-position-horizontal:center;mso-position-horizontal-relative:margin;mso-position-vertical:center;mso-position-vertical-relative:margin;rotation:20643840f;z-index:-251645952;mso-width-relative:page;mso-height-relative:page;" fillcolor="#C0C0C0" filled="t" stroked="f" coordsize="21600,21600" o:allowincell="f">
          <v:path/>
          <v:fill on="t" opacity="32768f" focussize="0,0"/>
          <v:stroke on="f"/>
          <v:imagedata o:title=""/>
          <o:lock v:ext="edit"/>
          <v:textpath on="t" fitshape="t" fitpath="t" trim="t" xscale="f" string="报批稿" style="font-family:宋体;font-size:1pt;v-text-align:center;"/>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pict>
        <v:shape id="PowerPlusWaterMarkObject29240940" o:spid="_x0000_s4101" o:spt="136" type="#_x0000_t136" style="position:absolute;left:0pt;height:146.4pt;width:439.2pt;mso-position-horizontal:center;mso-position-horizontal-relative:margin;mso-position-vertical:center;mso-position-vertical-relative:margin;rotation:20643840f;z-index:-251648000;mso-width-relative:page;mso-height-relative:page;" fillcolor="#C0C0C0" filled="t" stroked="f" coordsize="21600,21600" o:allowincell="f">
          <v:path/>
          <v:fill on="t" opacity="32768f" focussize="0,0"/>
          <v:stroke on="f"/>
          <v:imagedata o:title=""/>
          <o:lock v:ext="edit"/>
          <v:textpath on="t" fitshape="t" fitpath="t" trim="t" xscale="f" string="报批稿" style="font-family:宋体;font-size:1pt;v-text-align:center;"/>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pict>
        <v:shape id="PowerPlusWaterMarkObject29240939" o:spid="_x0000_s4099" o:spt="136" type="#_x0000_t136" style="position:absolute;left:0pt;height:146.4pt;width:439.2pt;mso-position-horizontal:center;mso-position-horizontal-relative:margin;mso-position-vertical:center;mso-position-vertical-relative:margin;rotation:20643840f;z-index:-251650048;mso-width-relative:page;mso-height-relative:page;" fillcolor="#C0C0C0" filled="t" stroked="f" coordsize="21600,21600" o:allowincell="f">
          <v:path/>
          <v:fill on="t" opacity="32768f" focussize="0,0"/>
          <v:stroke on="f"/>
          <v:imagedata o:title=""/>
          <o:lock v:ext="edit"/>
          <v:textpath on="t" fitshape="t" fitpath="t" trim="t" xscale="f" string="报批稿"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18E723E"/>
    <w:multiLevelType w:val="multilevel"/>
    <w:tmpl w:val="518E723E"/>
    <w:lvl w:ilvl="0" w:tentative="0">
      <w:start w:val="1"/>
      <w:numFmt w:val="decimal"/>
      <w:lvlText w:val="%1."/>
      <w:lvlJc w:val="left"/>
      <w:pPr>
        <w:ind w:left="911" w:hanging="360"/>
      </w:pPr>
      <w:rPr>
        <w:rFonts w:hint="default"/>
      </w:rPr>
    </w:lvl>
    <w:lvl w:ilvl="1" w:tentative="0">
      <w:start w:val="1"/>
      <w:numFmt w:val="lowerLetter"/>
      <w:lvlText w:val="%2)"/>
      <w:lvlJc w:val="left"/>
      <w:pPr>
        <w:ind w:left="1391" w:hanging="420"/>
      </w:pPr>
    </w:lvl>
    <w:lvl w:ilvl="2" w:tentative="0">
      <w:start w:val="1"/>
      <w:numFmt w:val="lowerRoman"/>
      <w:lvlText w:val="%3."/>
      <w:lvlJc w:val="right"/>
      <w:pPr>
        <w:ind w:left="1811" w:hanging="420"/>
      </w:pPr>
    </w:lvl>
    <w:lvl w:ilvl="3" w:tentative="0">
      <w:start w:val="1"/>
      <w:numFmt w:val="decimal"/>
      <w:lvlText w:val="%4."/>
      <w:lvlJc w:val="left"/>
      <w:pPr>
        <w:ind w:left="2231" w:hanging="420"/>
      </w:pPr>
    </w:lvl>
    <w:lvl w:ilvl="4" w:tentative="0">
      <w:start w:val="1"/>
      <w:numFmt w:val="lowerLetter"/>
      <w:lvlText w:val="%5)"/>
      <w:lvlJc w:val="left"/>
      <w:pPr>
        <w:ind w:left="2651" w:hanging="420"/>
      </w:pPr>
    </w:lvl>
    <w:lvl w:ilvl="5" w:tentative="0">
      <w:start w:val="1"/>
      <w:numFmt w:val="lowerRoman"/>
      <w:lvlText w:val="%6."/>
      <w:lvlJc w:val="right"/>
      <w:pPr>
        <w:ind w:left="3071" w:hanging="420"/>
      </w:pPr>
    </w:lvl>
    <w:lvl w:ilvl="6" w:tentative="0">
      <w:start w:val="1"/>
      <w:numFmt w:val="decimal"/>
      <w:lvlText w:val="%7."/>
      <w:lvlJc w:val="left"/>
      <w:pPr>
        <w:ind w:left="3491" w:hanging="420"/>
      </w:pPr>
    </w:lvl>
    <w:lvl w:ilvl="7" w:tentative="0">
      <w:start w:val="1"/>
      <w:numFmt w:val="lowerLetter"/>
      <w:lvlText w:val="%8)"/>
      <w:lvlJc w:val="left"/>
      <w:pPr>
        <w:ind w:left="3911" w:hanging="420"/>
      </w:pPr>
    </w:lvl>
    <w:lvl w:ilvl="8" w:tentative="0">
      <w:start w:val="1"/>
      <w:numFmt w:val="lowerRoman"/>
      <w:lvlText w:val="%9."/>
      <w:lvlJc w:val="right"/>
      <w:pPr>
        <w:ind w:left="4331"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3011BB"/>
    <w:rsid w:val="00000A77"/>
    <w:rsid w:val="000027DF"/>
    <w:rsid w:val="00004513"/>
    <w:rsid w:val="0000790D"/>
    <w:rsid w:val="00012282"/>
    <w:rsid w:val="00012A68"/>
    <w:rsid w:val="00015BEE"/>
    <w:rsid w:val="0002268C"/>
    <w:rsid w:val="0002272D"/>
    <w:rsid w:val="000257CD"/>
    <w:rsid w:val="00027449"/>
    <w:rsid w:val="00031423"/>
    <w:rsid w:val="000320F5"/>
    <w:rsid w:val="000326DC"/>
    <w:rsid w:val="00034CC4"/>
    <w:rsid w:val="00035B44"/>
    <w:rsid w:val="00042627"/>
    <w:rsid w:val="00043220"/>
    <w:rsid w:val="00044B32"/>
    <w:rsid w:val="0004574F"/>
    <w:rsid w:val="00047BF1"/>
    <w:rsid w:val="00053DB4"/>
    <w:rsid w:val="00054017"/>
    <w:rsid w:val="00054429"/>
    <w:rsid w:val="000600AB"/>
    <w:rsid w:val="0006018B"/>
    <w:rsid w:val="00062BC6"/>
    <w:rsid w:val="00063128"/>
    <w:rsid w:val="0006429A"/>
    <w:rsid w:val="0006722C"/>
    <w:rsid w:val="00074B33"/>
    <w:rsid w:val="00082704"/>
    <w:rsid w:val="00083786"/>
    <w:rsid w:val="00084AEA"/>
    <w:rsid w:val="00084EE7"/>
    <w:rsid w:val="000858BE"/>
    <w:rsid w:val="000871BC"/>
    <w:rsid w:val="00092870"/>
    <w:rsid w:val="00093002"/>
    <w:rsid w:val="000A653F"/>
    <w:rsid w:val="000B2779"/>
    <w:rsid w:val="000B2980"/>
    <w:rsid w:val="000B3482"/>
    <w:rsid w:val="000B6537"/>
    <w:rsid w:val="000B6DBD"/>
    <w:rsid w:val="000B7BB6"/>
    <w:rsid w:val="000C6A6E"/>
    <w:rsid w:val="000D1298"/>
    <w:rsid w:val="000E09CA"/>
    <w:rsid w:val="000E2653"/>
    <w:rsid w:val="000E333B"/>
    <w:rsid w:val="000E64E0"/>
    <w:rsid w:val="00101D15"/>
    <w:rsid w:val="00102CD0"/>
    <w:rsid w:val="001050A5"/>
    <w:rsid w:val="0010597B"/>
    <w:rsid w:val="00105A1F"/>
    <w:rsid w:val="00107738"/>
    <w:rsid w:val="001107B0"/>
    <w:rsid w:val="0011282A"/>
    <w:rsid w:val="00115E61"/>
    <w:rsid w:val="0012615C"/>
    <w:rsid w:val="001314A0"/>
    <w:rsid w:val="00131C72"/>
    <w:rsid w:val="00132CD9"/>
    <w:rsid w:val="00133F6F"/>
    <w:rsid w:val="00137BFD"/>
    <w:rsid w:val="0014052B"/>
    <w:rsid w:val="00141128"/>
    <w:rsid w:val="001424F1"/>
    <w:rsid w:val="00142A09"/>
    <w:rsid w:val="00142B26"/>
    <w:rsid w:val="00145F6C"/>
    <w:rsid w:val="00146285"/>
    <w:rsid w:val="0015065F"/>
    <w:rsid w:val="00151501"/>
    <w:rsid w:val="00153BCB"/>
    <w:rsid w:val="001561BD"/>
    <w:rsid w:val="00156BAC"/>
    <w:rsid w:val="00157F15"/>
    <w:rsid w:val="00166A69"/>
    <w:rsid w:val="001724BC"/>
    <w:rsid w:val="00174A4B"/>
    <w:rsid w:val="001816B7"/>
    <w:rsid w:val="00181865"/>
    <w:rsid w:val="001846CB"/>
    <w:rsid w:val="00187539"/>
    <w:rsid w:val="00193336"/>
    <w:rsid w:val="00193527"/>
    <w:rsid w:val="00196929"/>
    <w:rsid w:val="00196CB8"/>
    <w:rsid w:val="00197873"/>
    <w:rsid w:val="001A2E65"/>
    <w:rsid w:val="001A766D"/>
    <w:rsid w:val="001B1AB2"/>
    <w:rsid w:val="001B1E2B"/>
    <w:rsid w:val="001B3041"/>
    <w:rsid w:val="001B3A49"/>
    <w:rsid w:val="001B4C5A"/>
    <w:rsid w:val="001C0363"/>
    <w:rsid w:val="001C036F"/>
    <w:rsid w:val="001C042B"/>
    <w:rsid w:val="001C2735"/>
    <w:rsid w:val="001C36D8"/>
    <w:rsid w:val="001C36F9"/>
    <w:rsid w:val="001D0075"/>
    <w:rsid w:val="001D0F49"/>
    <w:rsid w:val="001D4694"/>
    <w:rsid w:val="001E339E"/>
    <w:rsid w:val="001E488E"/>
    <w:rsid w:val="001E5AB0"/>
    <w:rsid w:val="001F072D"/>
    <w:rsid w:val="001F2C1D"/>
    <w:rsid w:val="001F3961"/>
    <w:rsid w:val="001F3F3D"/>
    <w:rsid w:val="001F6DDA"/>
    <w:rsid w:val="001F7B16"/>
    <w:rsid w:val="00202B9E"/>
    <w:rsid w:val="002114E4"/>
    <w:rsid w:val="002114FC"/>
    <w:rsid w:val="0021271E"/>
    <w:rsid w:val="002139EC"/>
    <w:rsid w:val="00217042"/>
    <w:rsid w:val="002216E8"/>
    <w:rsid w:val="00225D92"/>
    <w:rsid w:val="00231C9F"/>
    <w:rsid w:val="00231D9A"/>
    <w:rsid w:val="00233A6A"/>
    <w:rsid w:val="002367AC"/>
    <w:rsid w:val="00237710"/>
    <w:rsid w:val="00237D8B"/>
    <w:rsid w:val="002408F1"/>
    <w:rsid w:val="00243737"/>
    <w:rsid w:val="002502DD"/>
    <w:rsid w:val="002510BA"/>
    <w:rsid w:val="0025594C"/>
    <w:rsid w:val="00256035"/>
    <w:rsid w:val="002560A5"/>
    <w:rsid w:val="00256818"/>
    <w:rsid w:val="002610F2"/>
    <w:rsid w:val="00267C5E"/>
    <w:rsid w:val="00267DB8"/>
    <w:rsid w:val="0027285B"/>
    <w:rsid w:val="00276B6F"/>
    <w:rsid w:val="00276F51"/>
    <w:rsid w:val="0028186C"/>
    <w:rsid w:val="00285C5E"/>
    <w:rsid w:val="00285C97"/>
    <w:rsid w:val="002867DE"/>
    <w:rsid w:val="002A0F0C"/>
    <w:rsid w:val="002B096D"/>
    <w:rsid w:val="002B1314"/>
    <w:rsid w:val="002B1376"/>
    <w:rsid w:val="002B2C71"/>
    <w:rsid w:val="002D0DA9"/>
    <w:rsid w:val="002D1B4E"/>
    <w:rsid w:val="002D20D7"/>
    <w:rsid w:val="002D46A3"/>
    <w:rsid w:val="002E2E38"/>
    <w:rsid w:val="002E4C68"/>
    <w:rsid w:val="002E60AE"/>
    <w:rsid w:val="002E730F"/>
    <w:rsid w:val="002F0A81"/>
    <w:rsid w:val="002F26F2"/>
    <w:rsid w:val="002F36F8"/>
    <w:rsid w:val="002F52FA"/>
    <w:rsid w:val="002F6332"/>
    <w:rsid w:val="002F74E0"/>
    <w:rsid w:val="0030039B"/>
    <w:rsid w:val="003011BB"/>
    <w:rsid w:val="00302A4F"/>
    <w:rsid w:val="00302E73"/>
    <w:rsid w:val="00305F65"/>
    <w:rsid w:val="0030627A"/>
    <w:rsid w:val="00310C8F"/>
    <w:rsid w:val="00312FC2"/>
    <w:rsid w:val="00317AE1"/>
    <w:rsid w:val="003260C9"/>
    <w:rsid w:val="0032795E"/>
    <w:rsid w:val="0033132B"/>
    <w:rsid w:val="00335452"/>
    <w:rsid w:val="00340406"/>
    <w:rsid w:val="00345A55"/>
    <w:rsid w:val="003505CB"/>
    <w:rsid w:val="00355BC8"/>
    <w:rsid w:val="003613CE"/>
    <w:rsid w:val="00361CF5"/>
    <w:rsid w:val="00363454"/>
    <w:rsid w:val="00363504"/>
    <w:rsid w:val="00363A8C"/>
    <w:rsid w:val="00363E4B"/>
    <w:rsid w:val="0037114C"/>
    <w:rsid w:val="00373DB4"/>
    <w:rsid w:val="00383E19"/>
    <w:rsid w:val="0039093B"/>
    <w:rsid w:val="003935ED"/>
    <w:rsid w:val="00394399"/>
    <w:rsid w:val="00396B1E"/>
    <w:rsid w:val="003A25B7"/>
    <w:rsid w:val="003A3BA4"/>
    <w:rsid w:val="003A4058"/>
    <w:rsid w:val="003A481A"/>
    <w:rsid w:val="003A5181"/>
    <w:rsid w:val="003A7962"/>
    <w:rsid w:val="003B154B"/>
    <w:rsid w:val="003B36C5"/>
    <w:rsid w:val="003C1A14"/>
    <w:rsid w:val="003C4461"/>
    <w:rsid w:val="003C56A2"/>
    <w:rsid w:val="003C7680"/>
    <w:rsid w:val="003D224F"/>
    <w:rsid w:val="003D3E3A"/>
    <w:rsid w:val="003D4599"/>
    <w:rsid w:val="003D688B"/>
    <w:rsid w:val="003E35F4"/>
    <w:rsid w:val="003E39D3"/>
    <w:rsid w:val="003E60B9"/>
    <w:rsid w:val="003E6378"/>
    <w:rsid w:val="003E73D1"/>
    <w:rsid w:val="003F2A19"/>
    <w:rsid w:val="003F39D7"/>
    <w:rsid w:val="003F3B7E"/>
    <w:rsid w:val="00400E41"/>
    <w:rsid w:val="00406AA9"/>
    <w:rsid w:val="00411B22"/>
    <w:rsid w:val="00414FA7"/>
    <w:rsid w:val="00416B28"/>
    <w:rsid w:val="00420A3B"/>
    <w:rsid w:val="0042567E"/>
    <w:rsid w:val="00433C87"/>
    <w:rsid w:val="00434CA3"/>
    <w:rsid w:val="004425F3"/>
    <w:rsid w:val="0044377C"/>
    <w:rsid w:val="00445150"/>
    <w:rsid w:val="00445ACE"/>
    <w:rsid w:val="00446020"/>
    <w:rsid w:val="00451F16"/>
    <w:rsid w:val="0045244A"/>
    <w:rsid w:val="004565A7"/>
    <w:rsid w:val="00457C60"/>
    <w:rsid w:val="00462492"/>
    <w:rsid w:val="0046412E"/>
    <w:rsid w:val="00465030"/>
    <w:rsid w:val="004653F3"/>
    <w:rsid w:val="00467D3A"/>
    <w:rsid w:val="00471CD8"/>
    <w:rsid w:val="00471CD9"/>
    <w:rsid w:val="0047236C"/>
    <w:rsid w:val="00472F75"/>
    <w:rsid w:val="00475BD3"/>
    <w:rsid w:val="004844A3"/>
    <w:rsid w:val="0048557E"/>
    <w:rsid w:val="00486642"/>
    <w:rsid w:val="004902B7"/>
    <w:rsid w:val="00492167"/>
    <w:rsid w:val="00497391"/>
    <w:rsid w:val="004A131D"/>
    <w:rsid w:val="004A304F"/>
    <w:rsid w:val="004A30BF"/>
    <w:rsid w:val="004C5BE9"/>
    <w:rsid w:val="004C6947"/>
    <w:rsid w:val="004D04DF"/>
    <w:rsid w:val="004D0993"/>
    <w:rsid w:val="004D4128"/>
    <w:rsid w:val="004D5E5A"/>
    <w:rsid w:val="004E10A1"/>
    <w:rsid w:val="004E4497"/>
    <w:rsid w:val="004E4FA3"/>
    <w:rsid w:val="004E5D87"/>
    <w:rsid w:val="004E5E54"/>
    <w:rsid w:val="004E6B09"/>
    <w:rsid w:val="004E7985"/>
    <w:rsid w:val="004F19A6"/>
    <w:rsid w:val="004F3180"/>
    <w:rsid w:val="004F393C"/>
    <w:rsid w:val="004F4754"/>
    <w:rsid w:val="004F4EBD"/>
    <w:rsid w:val="0050088F"/>
    <w:rsid w:val="00500BE9"/>
    <w:rsid w:val="005028DD"/>
    <w:rsid w:val="0051066D"/>
    <w:rsid w:val="0051260D"/>
    <w:rsid w:val="005148A8"/>
    <w:rsid w:val="0051630B"/>
    <w:rsid w:val="00516662"/>
    <w:rsid w:val="00520089"/>
    <w:rsid w:val="00522836"/>
    <w:rsid w:val="00522E4D"/>
    <w:rsid w:val="00527D0A"/>
    <w:rsid w:val="005319A5"/>
    <w:rsid w:val="00533FA1"/>
    <w:rsid w:val="005375CC"/>
    <w:rsid w:val="00540D1A"/>
    <w:rsid w:val="00542E12"/>
    <w:rsid w:val="0054467F"/>
    <w:rsid w:val="005504ED"/>
    <w:rsid w:val="005537CA"/>
    <w:rsid w:val="0056267D"/>
    <w:rsid w:val="00563BB2"/>
    <w:rsid w:val="00563C69"/>
    <w:rsid w:val="00564D99"/>
    <w:rsid w:val="00565B93"/>
    <w:rsid w:val="00573BD6"/>
    <w:rsid w:val="005778CF"/>
    <w:rsid w:val="005831D2"/>
    <w:rsid w:val="00584731"/>
    <w:rsid w:val="00585D92"/>
    <w:rsid w:val="00586994"/>
    <w:rsid w:val="00595F69"/>
    <w:rsid w:val="005A03DC"/>
    <w:rsid w:val="005A1392"/>
    <w:rsid w:val="005A3AA6"/>
    <w:rsid w:val="005A4ADE"/>
    <w:rsid w:val="005A75E3"/>
    <w:rsid w:val="005B08BD"/>
    <w:rsid w:val="005B19C4"/>
    <w:rsid w:val="005B37D1"/>
    <w:rsid w:val="005B67F6"/>
    <w:rsid w:val="005B7117"/>
    <w:rsid w:val="005B735B"/>
    <w:rsid w:val="005B7596"/>
    <w:rsid w:val="005C08C8"/>
    <w:rsid w:val="005C13C2"/>
    <w:rsid w:val="005C15FA"/>
    <w:rsid w:val="005C1F68"/>
    <w:rsid w:val="005C5ACB"/>
    <w:rsid w:val="005D1982"/>
    <w:rsid w:val="005D4619"/>
    <w:rsid w:val="005D7607"/>
    <w:rsid w:val="005E00B1"/>
    <w:rsid w:val="005E1D62"/>
    <w:rsid w:val="005E2FBD"/>
    <w:rsid w:val="005E7C59"/>
    <w:rsid w:val="005F3488"/>
    <w:rsid w:val="005F5935"/>
    <w:rsid w:val="005F6C71"/>
    <w:rsid w:val="00603075"/>
    <w:rsid w:val="0060332E"/>
    <w:rsid w:val="00611361"/>
    <w:rsid w:val="00611F3D"/>
    <w:rsid w:val="00613F28"/>
    <w:rsid w:val="0061412F"/>
    <w:rsid w:val="00617C10"/>
    <w:rsid w:val="00621835"/>
    <w:rsid w:val="00623534"/>
    <w:rsid w:val="0062784E"/>
    <w:rsid w:val="00640ABD"/>
    <w:rsid w:val="00642139"/>
    <w:rsid w:val="0064581E"/>
    <w:rsid w:val="0064601C"/>
    <w:rsid w:val="00646E16"/>
    <w:rsid w:val="006508F1"/>
    <w:rsid w:val="00650FFF"/>
    <w:rsid w:val="0065170E"/>
    <w:rsid w:val="00660267"/>
    <w:rsid w:val="00660858"/>
    <w:rsid w:val="00660BF2"/>
    <w:rsid w:val="00665792"/>
    <w:rsid w:val="00670D13"/>
    <w:rsid w:val="0068011B"/>
    <w:rsid w:val="00685A20"/>
    <w:rsid w:val="00686772"/>
    <w:rsid w:val="006901FD"/>
    <w:rsid w:val="00692B66"/>
    <w:rsid w:val="00693209"/>
    <w:rsid w:val="006936B6"/>
    <w:rsid w:val="0069408A"/>
    <w:rsid w:val="00695EDD"/>
    <w:rsid w:val="00696A8D"/>
    <w:rsid w:val="006A0151"/>
    <w:rsid w:val="006A37C3"/>
    <w:rsid w:val="006A51F4"/>
    <w:rsid w:val="006A642E"/>
    <w:rsid w:val="006A6B72"/>
    <w:rsid w:val="006A7B76"/>
    <w:rsid w:val="006B3F02"/>
    <w:rsid w:val="006B5AA9"/>
    <w:rsid w:val="006B5D76"/>
    <w:rsid w:val="006B667B"/>
    <w:rsid w:val="006C7458"/>
    <w:rsid w:val="006D4034"/>
    <w:rsid w:val="006D41A1"/>
    <w:rsid w:val="006D624F"/>
    <w:rsid w:val="006E05AD"/>
    <w:rsid w:val="006E222F"/>
    <w:rsid w:val="006E25D2"/>
    <w:rsid w:val="006E4BE0"/>
    <w:rsid w:val="006E4D16"/>
    <w:rsid w:val="006F0298"/>
    <w:rsid w:val="006F1A9B"/>
    <w:rsid w:val="006F1C2B"/>
    <w:rsid w:val="007000FA"/>
    <w:rsid w:val="00703471"/>
    <w:rsid w:val="00705365"/>
    <w:rsid w:val="00707322"/>
    <w:rsid w:val="00725064"/>
    <w:rsid w:val="00725520"/>
    <w:rsid w:val="00730F24"/>
    <w:rsid w:val="0073377E"/>
    <w:rsid w:val="00733E8A"/>
    <w:rsid w:val="00737D03"/>
    <w:rsid w:val="00740126"/>
    <w:rsid w:val="00741298"/>
    <w:rsid w:val="00741DF0"/>
    <w:rsid w:val="00743656"/>
    <w:rsid w:val="00743CE0"/>
    <w:rsid w:val="007454D2"/>
    <w:rsid w:val="00746F1F"/>
    <w:rsid w:val="00747F45"/>
    <w:rsid w:val="00762EC2"/>
    <w:rsid w:val="00765A8A"/>
    <w:rsid w:val="00770285"/>
    <w:rsid w:val="00772CF6"/>
    <w:rsid w:val="00775E1C"/>
    <w:rsid w:val="00782564"/>
    <w:rsid w:val="00785697"/>
    <w:rsid w:val="00795B2F"/>
    <w:rsid w:val="007A14E1"/>
    <w:rsid w:val="007A5C3C"/>
    <w:rsid w:val="007A603D"/>
    <w:rsid w:val="007B3735"/>
    <w:rsid w:val="007B743F"/>
    <w:rsid w:val="007C30CA"/>
    <w:rsid w:val="007C4685"/>
    <w:rsid w:val="007C6462"/>
    <w:rsid w:val="007C7D34"/>
    <w:rsid w:val="007D094C"/>
    <w:rsid w:val="007D4FCE"/>
    <w:rsid w:val="007D69FE"/>
    <w:rsid w:val="007D6E3E"/>
    <w:rsid w:val="007D7624"/>
    <w:rsid w:val="007E2D44"/>
    <w:rsid w:val="007E3FF1"/>
    <w:rsid w:val="007E7A00"/>
    <w:rsid w:val="007F030D"/>
    <w:rsid w:val="007F0BB0"/>
    <w:rsid w:val="007F72EF"/>
    <w:rsid w:val="008023A5"/>
    <w:rsid w:val="00802F16"/>
    <w:rsid w:val="00804BE3"/>
    <w:rsid w:val="00804E13"/>
    <w:rsid w:val="00806BBF"/>
    <w:rsid w:val="00812B43"/>
    <w:rsid w:val="00813158"/>
    <w:rsid w:val="008212BC"/>
    <w:rsid w:val="00823D0C"/>
    <w:rsid w:val="00824264"/>
    <w:rsid w:val="00824A77"/>
    <w:rsid w:val="00824F02"/>
    <w:rsid w:val="0082602E"/>
    <w:rsid w:val="008263E7"/>
    <w:rsid w:val="00827E2A"/>
    <w:rsid w:val="0083011D"/>
    <w:rsid w:val="008310FF"/>
    <w:rsid w:val="00832B25"/>
    <w:rsid w:val="00841F3B"/>
    <w:rsid w:val="00844545"/>
    <w:rsid w:val="00853BCB"/>
    <w:rsid w:val="008561C0"/>
    <w:rsid w:val="008661A4"/>
    <w:rsid w:val="008672F2"/>
    <w:rsid w:val="00870494"/>
    <w:rsid w:val="00871217"/>
    <w:rsid w:val="00873C64"/>
    <w:rsid w:val="00873D3C"/>
    <w:rsid w:val="00875690"/>
    <w:rsid w:val="00876659"/>
    <w:rsid w:val="00884D36"/>
    <w:rsid w:val="008879A0"/>
    <w:rsid w:val="00887A59"/>
    <w:rsid w:val="008960E5"/>
    <w:rsid w:val="008A0F59"/>
    <w:rsid w:val="008A66D7"/>
    <w:rsid w:val="008B6486"/>
    <w:rsid w:val="008B7D08"/>
    <w:rsid w:val="008C0FB3"/>
    <w:rsid w:val="008C12ED"/>
    <w:rsid w:val="008C496C"/>
    <w:rsid w:val="008D1613"/>
    <w:rsid w:val="008D1B22"/>
    <w:rsid w:val="008D223B"/>
    <w:rsid w:val="008E35FD"/>
    <w:rsid w:val="008E3D3C"/>
    <w:rsid w:val="008E4646"/>
    <w:rsid w:val="008E7801"/>
    <w:rsid w:val="008E7D0A"/>
    <w:rsid w:val="00903C44"/>
    <w:rsid w:val="0090417F"/>
    <w:rsid w:val="009111C1"/>
    <w:rsid w:val="00911A78"/>
    <w:rsid w:val="00911FF4"/>
    <w:rsid w:val="00913D5D"/>
    <w:rsid w:val="00915711"/>
    <w:rsid w:val="00920C9F"/>
    <w:rsid w:val="00923B07"/>
    <w:rsid w:val="009252F6"/>
    <w:rsid w:val="0093298B"/>
    <w:rsid w:val="0093440C"/>
    <w:rsid w:val="00935386"/>
    <w:rsid w:val="009353F0"/>
    <w:rsid w:val="00935C5B"/>
    <w:rsid w:val="00936417"/>
    <w:rsid w:val="00941BF8"/>
    <w:rsid w:val="009433AD"/>
    <w:rsid w:val="00945699"/>
    <w:rsid w:val="00951AFF"/>
    <w:rsid w:val="00951D8B"/>
    <w:rsid w:val="00954824"/>
    <w:rsid w:val="009570CE"/>
    <w:rsid w:val="00962B53"/>
    <w:rsid w:val="00962DEC"/>
    <w:rsid w:val="0096352E"/>
    <w:rsid w:val="00963959"/>
    <w:rsid w:val="009655FE"/>
    <w:rsid w:val="0098459D"/>
    <w:rsid w:val="00987D20"/>
    <w:rsid w:val="009900E1"/>
    <w:rsid w:val="00990881"/>
    <w:rsid w:val="00995FFF"/>
    <w:rsid w:val="009A33BA"/>
    <w:rsid w:val="009B1861"/>
    <w:rsid w:val="009B3B8B"/>
    <w:rsid w:val="009C1FA9"/>
    <w:rsid w:val="009C7195"/>
    <w:rsid w:val="009D26DB"/>
    <w:rsid w:val="009D51A7"/>
    <w:rsid w:val="009D7C7F"/>
    <w:rsid w:val="009E3DDC"/>
    <w:rsid w:val="009F72EF"/>
    <w:rsid w:val="00A01074"/>
    <w:rsid w:val="00A0257F"/>
    <w:rsid w:val="00A03A65"/>
    <w:rsid w:val="00A056FC"/>
    <w:rsid w:val="00A0748C"/>
    <w:rsid w:val="00A109A1"/>
    <w:rsid w:val="00A17A8D"/>
    <w:rsid w:val="00A23329"/>
    <w:rsid w:val="00A25BEA"/>
    <w:rsid w:val="00A27E20"/>
    <w:rsid w:val="00A30C49"/>
    <w:rsid w:val="00A31162"/>
    <w:rsid w:val="00A37E52"/>
    <w:rsid w:val="00A40B56"/>
    <w:rsid w:val="00A414CA"/>
    <w:rsid w:val="00A43348"/>
    <w:rsid w:val="00A45562"/>
    <w:rsid w:val="00A45F83"/>
    <w:rsid w:val="00A513F3"/>
    <w:rsid w:val="00A51863"/>
    <w:rsid w:val="00A53E5F"/>
    <w:rsid w:val="00A55D98"/>
    <w:rsid w:val="00A57738"/>
    <w:rsid w:val="00A631E2"/>
    <w:rsid w:val="00A64B7E"/>
    <w:rsid w:val="00A64CF7"/>
    <w:rsid w:val="00A65077"/>
    <w:rsid w:val="00A6786B"/>
    <w:rsid w:val="00A712D0"/>
    <w:rsid w:val="00A81D11"/>
    <w:rsid w:val="00A81D91"/>
    <w:rsid w:val="00A826CF"/>
    <w:rsid w:val="00A83F28"/>
    <w:rsid w:val="00A84AE8"/>
    <w:rsid w:val="00A914FB"/>
    <w:rsid w:val="00A92BCE"/>
    <w:rsid w:val="00A94AA6"/>
    <w:rsid w:val="00A96E38"/>
    <w:rsid w:val="00A97147"/>
    <w:rsid w:val="00AA0B8F"/>
    <w:rsid w:val="00AA2C46"/>
    <w:rsid w:val="00AA580C"/>
    <w:rsid w:val="00AA66BE"/>
    <w:rsid w:val="00AA6B0C"/>
    <w:rsid w:val="00AB0523"/>
    <w:rsid w:val="00AB5F5F"/>
    <w:rsid w:val="00AB6B33"/>
    <w:rsid w:val="00AC2CB8"/>
    <w:rsid w:val="00AC3536"/>
    <w:rsid w:val="00AD0ACC"/>
    <w:rsid w:val="00AD0FEE"/>
    <w:rsid w:val="00AD12B8"/>
    <w:rsid w:val="00AD1F4D"/>
    <w:rsid w:val="00AD2599"/>
    <w:rsid w:val="00AD35DF"/>
    <w:rsid w:val="00AD393E"/>
    <w:rsid w:val="00AD4CC5"/>
    <w:rsid w:val="00AD587B"/>
    <w:rsid w:val="00AD7F40"/>
    <w:rsid w:val="00AE2BB3"/>
    <w:rsid w:val="00AE377C"/>
    <w:rsid w:val="00AE5A19"/>
    <w:rsid w:val="00AE72E6"/>
    <w:rsid w:val="00AF01C4"/>
    <w:rsid w:val="00B00C76"/>
    <w:rsid w:val="00B00FF8"/>
    <w:rsid w:val="00B01A5B"/>
    <w:rsid w:val="00B04516"/>
    <w:rsid w:val="00B05492"/>
    <w:rsid w:val="00B12582"/>
    <w:rsid w:val="00B200DC"/>
    <w:rsid w:val="00B2084D"/>
    <w:rsid w:val="00B21577"/>
    <w:rsid w:val="00B22E90"/>
    <w:rsid w:val="00B26F3E"/>
    <w:rsid w:val="00B270F5"/>
    <w:rsid w:val="00B3455E"/>
    <w:rsid w:val="00B47819"/>
    <w:rsid w:val="00B5011B"/>
    <w:rsid w:val="00B50811"/>
    <w:rsid w:val="00B55438"/>
    <w:rsid w:val="00B57B80"/>
    <w:rsid w:val="00B601B4"/>
    <w:rsid w:val="00B654C3"/>
    <w:rsid w:val="00B66DA2"/>
    <w:rsid w:val="00B707B2"/>
    <w:rsid w:val="00B7392F"/>
    <w:rsid w:val="00B76F1B"/>
    <w:rsid w:val="00B771A3"/>
    <w:rsid w:val="00B8026D"/>
    <w:rsid w:val="00B81562"/>
    <w:rsid w:val="00B85F5B"/>
    <w:rsid w:val="00B865E3"/>
    <w:rsid w:val="00B86FD8"/>
    <w:rsid w:val="00B87A3F"/>
    <w:rsid w:val="00B87F5C"/>
    <w:rsid w:val="00B93D6C"/>
    <w:rsid w:val="00B96CA5"/>
    <w:rsid w:val="00BA2091"/>
    <w:rsid w:val="00BA3085"/>
    <w:rsid w:val="00BA596F"/>
    <w:rsid w:val="00BB75EA"/>
    <w:rsid w:val="00BC40B6"/>
    <w:rsid w:val="00BC479D"/>
    <w:rsid w:val="00BD53D5"/>
    <w:rsid w:val="00BE14FF"/>
    <w:rsid w:val="00BE264D"/>
    <w:rsid w:val="00BE3F06"/>
    <w:rsid w:val="00BE5030"/>
    <w:rsid w:val="00BE6F97"/>
    <w:rsid w:val="00BE7677"/>
    <w:rsid w:val="00BE7DC8"/>
    <w:rsid w:val="00BE7E36"/>
    <w:rsid w:val="00BF0A24"/>
    <w:rsid w:val="00BF16A0"/>
    <w:rsid w:val="00BF1F7C"/>
    <w:rsid w:val="00BF3651"/>
    <w:rsid w:val="00BF52BB"/>
    <w:rsid w:val="00BF59C8"/>
    <w:rsid w:val="00BF79B0"/>
    <w:rsid w:val="00C00254"/>
    <w:rsid w:val="00C00350"/>
    <w:rsid w:val="00C02B78"/>
    <w:rsid w:val="00C129CC"/>
    <w:rsid w:val="00C1406D"/>
    <w:rsid w:val="00C2254C"/>
    <w:rsid w:val="00C22985"/>
    <w:rsid w:val="00C23FAE"/>
    <w:rsid w:val="00C26F17"/>
    <w:rsid w:val="00C32E4F"/>
    <w:rsid w:val="00C33896"/>
    <w:rsid w:val="00C3521A"/>
    <w:rsid w:val="00C36ABC"/>
    <w:rsid w:val="00C418D9"/>
    <w:rsid w:val="00C42004"/>
    <w:rsid w:val="00C4242A"/>
    <w:rsid w:val="00C46CCC"/>
    <w:rsid w:val="00C46D5F"/>
    <w:rsid w:val="00C47C69"/>
    <w:rsid w:val="00C5046D"/>
    <w:rsid w:val="00C534AB"/>
    <w:rsid w:val="00C556A1"/>
    <w:rsid w:val="00C578FA"/>
    <w:rsid w:val="00C6250D"/>
    <w:rsid w:val="00C62809"/>
    <w:rsid w:val="00C6287D"/>
    <w:rsid w:val="00C62FAD"/>
    <w:rsid w:val="00C64A3A"/>
    <w:rsid w:val="00C75ADF"/>
    <w:rsid w:val="00C84D94"/>
    <w:rsid w:val="00C93DE9"/>
    <w:rsid w:val="00CA1C9E"/>
    <w:rsid w:val="00CA3CC3"/>
    <w:rsid w:val="00CA4CDA"/>
    <w:rsid w:val="00CB2631"/>
    <w:rsid w:val="00CB4248"/>
    <w:rsid w:val="00CB776A"/>
    <w:rsid w:val="00CC0AD6"/>
    <w:rsid w:val="00CD03AC"/>
    <w:rsid w:val="00CD0F0A"/>
    <w:rsid w:val="00CD2AC9"/>
    <w:rsid w:val="00CD4E4D"/>
    <w:rsid w:val="00CE2DCD"/>
    <w:rsid w:val="00CE327D"/>
    <w:rsid w:val="00CE3EBC"/>
    <w:rsid w:val="00CE4FFD"/>
    <w:rsid w:val="00CE73DE"/>
    <w:rsid w:val="00CF31AD"/>
    <w:rsid w:val="00D07C0C"/>
    <w:rsid w:val="00D07FA4"/>
    <w:rsid w:val="00D13D8D"/>
    <w:rsid w:val="00D16FA1"/>
    <w:rsid w:val="00D2057E"/>
    <w:rsid w:val="00D27EB5"/>
    <w:rsid w:val="00D27FBE"/>
    <w:rsid w:val="00D30F50"/>
    <w:rsid w:val="00D338B7"/>
    <w:rsid w:val="00D33E0E"/>
    <w:rsid w:val="00D34589"/>
    <w:rsid w:val="00D37ACD"/>
    <w:rsid w:val="00D43029"/>
    <w:rsid w:val="00D447DC"/>
    <w:rsid w:val="00D45824"/>
    <w:rsid w:val="00D45EF1"/>
    <w:rsid w:val="00D51887"/>
    <w:rsid w:val="00D51D2B"/>
    <w:rsid w:val="00D52121"/>
    <w:rsid w:val="00D5497A"/>
    <w:rsid w:val="00D578D2"/>
    <w:rsid w:val="00D62A92"/>
    <w:rsid w:val="00D62F21"/>
    <w:rsid w:val="00D66F9D"/>
    <w:rsid w:val="00D702AB"/>
    <w:rsid w:val="00D74918"/>
    <w:rsid w:val="00D757CB"/>
    <w:rsid w:val="00D77624"/>
    <w:rsid w:val="00D8488E"/>
    <w:rsid w:val="00D91B96"/>
    <w:rsid w:val="00D95082"/>
    <w:rsid w:val="00D956F8"/>
    <w:rsid w:val="00DA43E0"/>
    <w:rsid w:val="00DA58A9"/>
    <w:rsid w:val="00DA7DE7"/>
    <w:rsid w:val="00DB2B31"/>
    <w:rsid w:val="00DB56B2"/>
    <w:rsid w:val="00DB65C4"/>
    <w:rsid w:val="00DB7293"/>
    <w:rsid w:val="00DC1723"/>
    <w:rsid w:val="00DC1F5C"/>
    <w:rsid w:val="00DC2953"/>
    <w:rsid w:val="00DC6543"/>
    <w:rsid w:val="00DD1E59"/>
    <w:rsid w:val="00DD320E"/>
    <w:rsid w:val="00DE245F"/>
    <w:rsid w:val="00DE3278"/>
    <w:rsid w:val="00DE3701"/>
    <w:rsid w:val="00DE4375"/>
    <w:rsid w:val="00DE5C43"/>
    <w:rsid w:val="00DE6076"/>
    <w:rsid w:val="00DE6300"/>
    <w:rsid w:val="00DF2449"/>
    <w:rsid w:val="00E01703"/>
    <w:rsid w:val="00E01F54"/>
    <w:rsid w:val="00E06618"/>
    <w:rsid w:val="00E07616"/>
    <w:rsid w:val="00E0774B"/>
    <w:rsid w:val="00E07CAE"/>
    <w:rsid w:val="00E146C8"/>
    <w:rsid w:val="00E1697E"/>
    <w:rsid w:val="00E16EA3"/>
    <w:rsid w:val="00E20BA9"/>
    <w:rsid w:val="00E22E00"/>
    <w:rsid w:val="00E23C0A"/>
    <w:rsid w:val="00E23C26"/>
    <w:rsid w:val="00E27928"/>
    <w:rsid w:val="00E3113D"/>
    <w:rsid w:val="00E312BA"/>
    <w:rsid w:val="00E3383E"/>
    <w:rsid w:val="00E34710"/>
    <w:rsid w:val="00E350B0"/>
    <w:rsid w:val="00E36C6A"/>
    <w:rsid w:val="00E46278"/>
    <w:rsid w:val="00E4715E"/>
    <w:rsid w:val="00E47C69"/>
    <w:rsid w:val="00E53002"/>
    <w:rsid w:val="00E57837"/>
    <w:rsid w:val="00E61821"/>
    <w:rsid w:val="00E62F58"/>
    <w:rsid w:val="00E63200"/>
    <w:rsid w:val="00E70866"/>
    <w:rsid w:val="00E70D82"/>
    <w:rsid w:val="00E73A07"/>
    <w:rsid w:val="00E7775C"/>
    <w:rsid w:val="00E77889"/>
    <w:rsid w:val="00E81ABD"/>
    <w:rsid w:val="00E8493E"/>
    <w:rsid w:val="00E85F8C"/>
    <w:rsid w:val="00E860E2"/>
    <w:rsid w:val="00E861B0"/>
    <w:rsid w:val="00E911B8"/>
    <w:rsid w:val="00E9240E"/>
    <w:rsid w:val="00E925BC"/>
    <w:rsid w:val="00E92B1A"/>
    <w:rsid w:val="00EA1212"/>
    <w:rsid w:val="00EA2E64"/>
    <w:rsid w:val="00EA2F4B"/>
    <w:rsid w:val="00EB1F08"/>
    <w:rsid w:val="00EB62E3"/>
    <w:rsid w:val="00EC0ACA"/>
    <w:rsid w:val="00EC4095"/>
    <w:rsid w:val="00EC47C0"/>
    <w:rsid w:val="00EC6AB6"/>
    <w:rsid w:val="00ED0EA0"/>
    <w:rsid w:val="00ED51C2"/>
    <w:rsid w:val="00ED78DE"/>
    <w:rsid w:val="00EE1B9D"/>
    <w:rsid w:val="00EE65C9"/>
    <w:rsid w:val="00EF0105"/>
    <w:rsid w:val="00EF0DCF"/>
    <w:rsid w:val="00EF3E79"/>
    <w:rsid w:val="00EF4903"/>
    <w:rsid w:val="00EF7E46"/>
    <w:rsid w:val="00F01B1D"/>
    <w:rsid w:val="00F069CC"/>
    <w:rsid w:val="00F0700D"/>
    <w:rsid w:val="00F12332"/>
    <w:rsid w:val="00F12417"/>
    <w:rsid w:val="00F251CA"/>
    <w:rsid w:val="00F304B5"/>
    <w:rsid w:val="00F35051"/>
    <w:rsid w:val="00F36D3A"/>
    <w:rsid w:val="00F40542"/>
    <w:rsid w:val="00F40F1F"/>
    <w:rsid w:val="00F43398"/>
    <w:rsid w:val="00F46009"/>
    <w:rsid w:val="00F5170C"/>
    <w:rsid w:val="00F61F73"/>
    <w:rsid w:val="00F622F4"/>
    <w:rsid w:val="00F632DC"/>
    <w:rsid w:val="00F72372"/>
    <w:rsid w:val="00F73E55"/>
    <w:rsid w:val="00F85452"/>
    <w:rsid w:val="00F91AF8"/>
    <w:rsid w:val="00F93931"/>
    <w:rsid w:val="00F9725B"/>
    <w:rsid w:val="00FB1123"/>
    <w:rsid w:val="00FB2808"/>
    <w:rsid w:val="00FB2DE1"/>
    <w:rsid w:val="00FB542F"/>
    <w:rsid w:val="00FB6470"/>
    <w:rsid w:val="00FB730E"/>
    <w:rsid w:val="00FC70A7"/>
    <w:rsid w:val="00FD1481"/>
    <w:rsid w:val="00FD3F94"/>
    <w:rsid w:val="00FD4617"/>
    <w:rsid w:val="00FD4D37"/>
    <w:rsid w:val="00FD74C9"/>
    <w:rsid w:val="00FE0B40"/>
    <w:rsid w:val="00FE1F2A"/>
    <w:rsid w:val="00FE32EF"/>
    <w:rsid w:val="00FE3682"/>
    <w:rsid w:val="00FE4877"/>
    <w:rsid w:val="00FE7322"/>
    <w:rsid w:val="00FE7716"/>
    <w:rsid w:val="00FF0D6B"/>
    <w:rsid w:val="00FF1006"/>
    <w:rsid w:val="00FF1C83"/>
    <w:rsid w:val="0F204C12"/>
    <w:rsid w:val="1EB13F7B"/>
    <w:rsid w:val="25817560"/>
    <w:rsid w:val="26964DD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0"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iPriority="99" w:name="footnote text"/>
    <w:lsdException w:uiPriority="99" w:name="annotation text"/>
    <w:lsdException w:qFormat="1"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qFormat="1" w:unhideWhenUsed="0" w:uiPriority="0" w:semiHidden="0"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nhideWhenUsed="0" w:uiPriority="0" w:semiHidden="0" w:name="Body Text Indent 2"/>
    <w:lsdException w:qFormat="1"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qFormat="1" w:uiPriority="0"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tabs>
        <w:tab w:val="left" w:pos="750"/>
      </w:tabs>
      <w:spacing w:line="360" w:lineRule="auto"/>
      <w:jc w:val="both"/>
    </w:pPr>
    <w:rPr>
      <w:rFonts w:ascii="Arial" w:hAnsi="Arial" w:eastAsia="宋体" w:cs="Arial"/>
      <w:kern w:val="2"/>
      <w:sz w:val="24"/>
      <w:szCs w:val="24"/>
      <w:lang w:val="en-US" w:eastAsia="zh-CN" w:bidi="ar-SA"/>
    </w:rPr>
  </w:style>
  <w:style w:type="paragraph" w:styleId="2">
    <w:name w:val="heading 1"/>
    <w:basedOn w:val="1"/>
    <w:next w:val="1"/>
    <w:link w:val="41"/>
    <w:qFormat/>
    <w:uiPriority w:val="0"/>
    <w:pPr>
      <w:keepNext/>
      <w:keepLines/>
      <w:spacing w:before="340" w:after="330" w:line="578" w:lineRule="auto"/>
      <w:outlineLvl w:val="0"/>
    </w:pPr>
    <w:rPr>
      <w:rFonts w:cs="Times New Roman"/>
      <w:b/>
      <w:bCs/>
      <w:kern w:val="44"/>
      <w:sz w:val="30"/>
      <w:szCs w:val="44"/>
    </w:rPr>
  </w:style>
  <w:style w:type="paragraph" w:styleId="3">
    <w:name w:val="heading 2"/>
    <w:basedOn w:val="2"/>
    <w:next w:val="1"/>
    <w:link w:val="42"/>
    <w:qFormat/>
    <w:uiPriority w:val="9"/>
    <w:pPr>
      <w:keepLines w:val="0"/>
      <w:spacing w:before="0" w:after="0" w:line="240" w:lineRule="auto"/>
      <w:jc w:val="left"/>
      <w:outlineLvl w:val="1"/>
    </w:pPr>
    <w:rPr>
      <w:bCs w:val="0"/>
      <w:kern w:val="2"/>
      <w:sz w:val="28"/>
      <w:szCs w:val="24"/>
    </w:rPr>
  </w:style>
  <w:style w:type="paragraph" w:styleId="4">
    <w:name w:val="heading 3"/>
    <w:basedOn w:val="1"/>
    <w:next w:val="1"/>
    <w:link w:val="43"/>
    <w:qFormat/>
    <w:uiPriority w:val="0"/>
    <w:pPr>
      <w:keepNext/>
      <w:keepLines/>
      <w:spacing w:before="260" w:after="260" w:line="416" w:lineRule="auto"/>
      <w:outlineLvl w:val="2"/>
    </w:pPr>
    <w:rPr>
      <w:rFonts w:cs="Times New Roman"/>
      <w:b/>
      <w:bCs/>
      <w:sz w:val="28"/>
      <w:szCs w:val="32"/>
    </w:rPr>
  </w:style>
  <w:style w:type="paragraph" w:styleId="5">
    <w:name w:val="heading 4"/>
    <w:basedOn w:val="1"/>
    <w:next w:val="1"/>
    <w:link w:val="44"/>
    <w:unhideWhenUsed/>
    <w:qFormat/>
    <w:uiPriority w:val="0"/>
    <w:pPr>
      <w:keepNext/>
      <w:keepLines/>
      <w:spacing w:line="377" w:lineRule="auto"/>
      <w:outlineLvl w:val="3"/>
    </w:pPr>
    <w:rPr>
      <w:rFonts w:ascii="Cambria" w:hAnsi="Cambria" w:cs="Times New Roman"/>
      <w:b/>
      <w:bCs/>
      <w:sz w:val="28"/>
      <w:szCs w:val="28"/>
    </w:rPr>
  </w:style>
  <w:style w:type="paragraph" w:styleId="6">
    <w:name w:val="heading 5"/>
    <w:basedOn w:val="1"/>
    <w:next w:val="1"/>
    <w:link w:val="45"/>
    <w:unhideWhenUsed/>
    <w:qFormat/>
    <w:uiPriority w:val="9"/>
    <w:pPr>
      <w:keepNext/>
      <w:keepLines/>
      <w:spacing w:before="280" w:after="290" w:line="376" w:lineRule="auto"/>
      <w:ind w:left="1008" w:hanging="1008"/>
      <w:outlineLvl w:val="4"/>
    </w:pPr>
    <w:rPr>
      <w:rFonts w:ascii="Calibri" w:hAnsi="Calibri" w:cs="Times New Roman"/>
      <w:b/>
      <w:bCs/>
      <w:sz w:val="28"/>
      <w:szCs w:val="28"/>
    </w:rPr>
  </w:style>
  <w:style w:type="paragraph" w:styleId="7">
    <w:name w:val="heading 6"/>
    <w:basedOn w:val="1"/>
    <w:next w:val="1"/>
    <w:link w:val="46"/>
    <w:semiHidden/>
    <w:unhideWhenUsed/>
    <w:qFormat/>
    <w:uiPriority w:val="9"/>
    <w:pPr>
      <w:keepNext/>
      <w:keepLines/>
      <w:spacing w:before="240" w:after="64" w:line="320" w:lineRule="auto"/>
      <w:ind w:left="1152" w:hanging="1152"/>
      <w:outlineLvl w:val="5"/>
    </w:pPr>
    <w:rPr>
      <w:rFonts w:ascii="Cambria" w:hAnsi="Cambria" w:cs="Times New Roman"/>
      <w:b/>
      <w:bCs/>
    </w:rPr>
  </w:style>
  <w:style w:type="paragraph" w:styleId="8">
    <w:name w:val="heading 7"/>
    <w:basedOn w:val="1"/>
    <w:next w:val="1"/>
    <w:link w:val="47"/>
    <w:semiHidden/>
    <w:unhideWhenUsed/>
    <w:qFormat/>
    <w:uiPriority w:val="9"/>
    <w:pPr>
      <w:keepNext/>
      <w:keepLines/>
      <w:spacing w:before="240" w:after="64" w:line="320" w:lineRule="auto"/>
      <w:ind w:left="1296" w:hanging="1296"/>
      <w:outlineLvl w:val="6"/>
    </w:pPr>
    <w:rPr>
      <w:rFonts w:ascii="Calibri" w:hAnsi="Calibri" w:cs="Times New Roman"/>
      <w:b/>
      <w:bCs/>
    </w:rPr>
  </w:style>
  <w:style w:type="paragraph" w:styleId="9">
    <w:name w:val="heading 8"/>
    <w:basedOn w:val="1"/>
    <w:next w:val="1"/>
    <w:link w:val="48"/>
    <w:semiHidden/>
    <w:unhideWhenUsed/>
    <w:qFormat/>
    <w:uiPriority w:val="9"/>
    <w:pPr>
      <w:keepNext/>
      <w:keepLines/>
      <w:spacing w:before="240" w:after="64" w:line="320" w:lineRule="auto"/>
      <w:ind w:left="1440" w:hanging="1440"/>
      <w:outlineLvl w:val="7"/>
    </w:pPr>
    <w:rPr>
      <w:rFonts w:ascii="Cambria" w:hAnsi="Cambria" w:cs="Times New Roman"/>
    </w:rPr>
  </w:style>
  <w:style w:type="paragraph" w:styleId="10">
    <w:name w:val="heading 9"/>
    <w:basedOn w:val="1"/>
    <w:next w:val="1"/>
    <w:link w:val="49"/>
    <w:semiHidden/>
    <w:unhideWhenUsed/>
    <w:qFormat/>
    <w:uiPriority w:val="9"/>
    <w:pPr>
      <w:keepNext/>
      <w:keepLines/>
      <w:spacing w:before="240" w:after="64" w:line="320" w:lineRule="auto"/>
      <w:ind w:left="1584" w:hanging="1584"/>
      <w:outlineLvl w:val="8"/>
    </w:pPr>
    <w:rPr>
      <w:rFonts w:ascii="Cambria" w:hAnsi="Cambria" w:cs="Times New Roman"/>
      <w:sz w:val="21"/>
      <w:szCs w:val="21"/>
    </w:rPr>
  </w:style>
  <w:style w:type="character" w:default="1" w:styleId="31">
    <w:name w:val="Default Paragraph Font"/>
    <w:semiHidden/>
    <w:unhideWhenUsed/>
    <w:uiPriority w:val="1"/>
  </w:style>
  <w:style w:type="table" w:default="1" w:styleId="39">
    <w:name w:val="Normal Table"/>
    <w:semiHidden/>
    <w:unhideWhenUsed/>
    <w:qFormat/>
    <w:uiPriority w:val="99"/>
    <w:tblPr>
      <w:tblLayout w:type="fixed"/>
      <w:tblCellMar>
        <w:top w:w="0" w:type="dxa"/>
        <w:left w:w="108" w:type="dxa"/>
        <w:bottom w:w="0" w:type="dxa"/>
        <w:right w:w="108" w:type="dxa"/>
      </w:tblCellMar>
    </w:tblPr>
  </w:style>
  <w:style w:type="paragraph" w:styleId="11">
    <w:name w:val="annotation subject"/>
    <w:basedOn w:val="12"/>
    <w:next w:val="12"/>
    <w:link w:val="78"/>
    <w:semiHidden/>
    <w:unhideWhenUsed/>
    <w:qFormat/>
    <w:uiPriority w:val="99"/>
    <w:pPr>
      <w:tabs>
        <w:tab w:val="left" w:pos="750"/>
      </w:tabs>
    </w:pPr>
    <w:rPr>
      <w:b/>
      <w:bCs/>
    </w:rPr>
  </w:style>
  <w:style w:type="paragraph" w:styleId="12">
    <w:name w:val="annotation text"/>
    <w:basedOn w:val="1"/>
    <w:link w:val="77"/>
    <w:semiHidden/>
    <w:unhideWhenUsed/>
    <w:uiPriority w:val="99"/>
    <w:pPr>
      <w:jc w:val="left"/>
    </w:pPr>
  </w:style>
  <w:style w:type="paragraph" w:styleId="13">
    <w:name w:val="Normal Indent"/>
    <w:basedOn w:val="1"/>
    <w:link w:val="67"/>
    <w:qFormat/>
    <w:uiPriority w:val="0"/>
    <w:pPr>
      <w:tabs>
        <w:tab w:val="clear" w:pos="750"/>
      </w:tabs>
      <w:spacing w:line="240" w:lineRule="auto"/>
      <w:ind w:firstLine="420" w:firstLineChars="200"/>
    </w:pPr>
    <w:rPr>
      <w:rFonts w:ascii="Times New Roman" w:hAnsi="Times New Roman" w:cs="Times New Roman"/>
      <w:sz w:val="21"/>
    </w:rPr>
  </w:style>
  <w:style w:type="paragraph" w:styleId="14">
    <w:name w:val="caption"/>
    <w:basedOn w:val="1"/>
    <w:next w:val="1"/>
    <w:link w:val="50"/>
    <w:unhideWhenUsed/>
    <w:qFormat/>
    <w:uiPriority w:val="35"/>
    <w:rPr>
      <w:rFonts w:ascii="Cambria" w:hAnsi="Cambria" w:eastAsia="黑体"/>
      <w:sz w:val="20"/>
      <w:szCs w:val="20"/>
    </w:rPr>
  </w:style>
  <w:style w:type="paragraph" w:styleId="15">
    <w:name w:val="Document Map"/>
    <w:basedOn w:val="1"/>
    <w:link w:val="58"/>
    <w:semiHidden/>
    <w:unhideWhenUsed/>
    <w:qFormat/>
    <w:uiPriority w:val="0"/>
    <w:rPr>
      <w:rFonts w:ascii="宋体"/>
      <w:sz w:val="18"/>
      <w:szCs w:val="18"/>
    </w:rPr>
  </w:style>
  <w:style w:type="paragraph" w:styleId="16">
    <w:name w:val="Body Text Indent"/>
    <w:basedOn w:val="1"/>
    <w:link w:val="69"/>
    <w:uiPriority w:val="0"/>
    <w:pPr>
      <w:tabs>
        <w:tab w:val="clear" w:pos="750"/>
      </w:tabs>
      <w:snapToGrid w:val="0"/>
      <w:spacing w:line="520" w:lineRule="exact"/>
      <w:ind w:firstLine="560" w:firstLineChars="200"/>
    </w:pPr>
    <w:rPr>
      <w:rFonts w:ascii="Times New Roman" w:hAnsi="Times New Roman" w:cs="Times New Roman"/>
      <w:color w:val="000000"/>
      <w:kern w:val="0"/>
      <w:sz w:val="28"/>
      <w:szCs w:val="20"/>
    </w:rPr>
  </w:style>
  <w:style w:type="paragraph" w:styleId="17">
    <w:name w:val="toc 3"/>
    <w:basedOn w:val="1"/>
    <w:next w:val="1"/>
    <w:unhideWhenUsed/>
    <w:qFormat/>
    <w:uiPriority w:val="39"/>
    <w:pPr>
      <w:tabs>
        <w:tab w:val="clear" w:pos="750"/>
      </w:tabs>
      <w:ind w:left="840" w:leftChars="400"/>
    </w:pPr>
  </w:style>
  <w:style w:type="paragraph" w:styleId="18">
    <w:name w:val="Body Text Indent 2"/>
    <w:basedOn w:val="1"/>
    <w:link w:val="70"/>
    <w:uiPriority w:val="0"/>
    <w:pPr>
      <w:tabs>
        <w:tab w:val="clear" w:pos="750"/>
      </w:tabs>
      <w:spacing w:after="120" w:line="480" w:lineRule="auto"/>
      <w:ind w:left="420" w:leftChars="200"/>
    </w:pPr>
    <w:rPr>
      <w:rFonts w:ascii="Times New Roman" w:hAnsi="Times New Roman" w:cs="Times New Roman"/>
      <w:sz w:val="21"/>
    </w:rPr>
  </w:style>
  <w:style w:type="paragraph" w:styleId="19">
    <w:name w:val="endnote text"/>
    <w:basedOn w:val="1"/>
    <w:link w:val="81"/>
    <w:semiHidden/>
    <w:unhideWhenUsed/>
    <w:qFormat/>
    <w:uiPriority w:val="99"/>
    <w:pPr>
      <w:snapToGrid w:val="0"/>
      <w:jc w:val="left"/>
    </w:pPr>
  </w:style>
  <w:style w:type="paragraph" w:styleId="20">
    <w:name w:val="Balloon Text"/>
    <w:basedOn w:val="1"/>
    <w:link w:val="71"/>
    <w:semiHidden/>
    <w:unhideWhenUsed/>
    <w:qFormat/>
    <w:uiPriority w:val="99"/>
    <w:pPr>
      <w:spacing w:line="240" w:lineRule="auto"/>
    </w:pPr>
    <w:rPr>
      <w:sz w:val="18"/>
      <w:szCs w:val="18"/>
    </w:rPr>
  </w:style>
  <w:style w:type="paragraph" w:styleId="21">
    <w:name w:val="footer"/>
    <w:basedOn w:val="1"/>
    <w:link w:val="57"/>
    <w:unhideWhenUsed/>
    <w:qFormat/>
    <w:uiPriority w:val="99"/>
    <w:pPr>
      <w:tabs>
        <w:tab w:val="center" w:pos="4153"/>
        <w:tab w:val="right" w:pos="8306"/>
        <w:tab w:val="clear" w:pos="750"/>
      </w:tabs>
      <w:snapToGrid w:val="0"/>
      <w:spacing w:line="240" w:lineRule="auto"/>
      <w:jc w:val="left"/>
    </w:pPr>
    <w:rPr>
      <w:sz w:val="18"/>
      <w:szCs w:val="18"/>
    </w:rPr>
  </w:style>
  <w:style w:type="paragraph" w:styleId="22">
    <w:name w:val="header"/>
    <w:basedOn w:val="1"/>
    <w:link w:val="56"/>
    <w:unhideWhenUsed/>
    <w:qFormat/>
    <w:uiPriority w:val="0"/>
    <w:pPr>
      <w:pBdr>
        <w:bottom w:val="single" w:color="auto" w:sz="6" w:space="1"/>
      </w:pBdr>
      <w:tabs>
        <w:tab w:val="center" w:pos="4153"/>
        <w:tab w:val="right" w:pos="8306"/>
        <w:tab w:val="clear" w:pos="750"/>
      </w:tabs>
      <w:snapToGrid w:val="0"/>
      <w:spacing w:line="240" w:lineRule="auto"/>
      <w:jc w:val="center"/>
    </w:pPr>
    <w:rPr>
      <w:sz w:val="18"/>
      <w:szCs w:val="18"/>
    </w:rPr>
  </w:style>
  <w:style w:type="paragraph" w:styleId="23">
    <w:name w:val="toc 1"/>
    <w:basedOn w:val="1"/>
    <w:next w:val="1"/>
    <w:unhideWhenUsed/>
    <w:uiPriority w:val="39"/>
    <w:pPr>
      <w:tabs>
        <w:tab w:val="right" w:leader="dot" w:pos="8303"/>
        <w:tab w:val="clear" w:pos="750"/>
      </w:tabs>
    </w:pPr>
    <w:rPr>
      <w:rFonts w:ascii="Times New Roman" w:hAnsi="Times New Roman" w:eastAsia="仿宋_GB2312" w:cs="Times New Roman"/>
    </w:rPr>
  </w:style>
  <w:style w:type="paragraph" w:styleId="24">
    <w:name w:val="Subtitle"/>
    <w:basedOn w:val="1"/>
    <w:next w:val="1"/>
    <w:link w:val="52"/>
    <w:qFormat/>
    <w:uiPriority w:val="11"/>
    <w:pPr>
      <w:jc w:val="left"/>
      <w:outlineLvl w:val="1"/>
    </w:pPr>
    <w:rPr>
      <w:rFonts w:ascii="Cambria" w:hAnsi="Cambria" w:cs="Times New Roman"/>
      <w:b/>
      <w:bCs/>
      <w:kern w:val="28"/>
      <w:sz w:val="21"/>
      <w:szCs w:val="32"/>
    </w:rPr>
  </w:style>
  <w:style w:type="paragraph" w:styleId="25">
    <w:name w:val="footnote text"/>
    <w:basedOn w:val="1"/>
    <w:link w:val="62"/>
    <w:semiHidden/>
    <w:unhideWhenUsed/>
    <w:qFormat/>
    <w:uiPriority w:val="99"/>
    <w:pPr>
      <w:snapToGrid w:val="0"/>
      <w:jc w:val="left"/>
    </w:pPr>
    <w:rPr>
      <w:sz w:val="18"/>
      <w:szCs w:val="18"/>
    </w:rPr>
  </w:style>
  <w:style w:type="paragraph" w:styleId="26">
    <w:name w:val="Body Text Indent 3"/>
    <w:basedOn w:val="1"/>
    <w:link w:val="73"/>
    <w:semiHidden/>
    <w:unhideWhenUsed/>
    <w:qFormat/>
    <w:uiPriority w:val="99"/>
    <w:pPr>
      <w:spacing w:after="120"/>
      <w:ind w:left="420" w:leftChars="200"/>
    </w:pPr>
    <w:rPr>
      <w:sz w:val="16"/>
      <w:szCs w:val="16"/>
    </w:rPr>
  </w:style>
  <w:style w:type="paragraph" w:styleId="27">
    <w:name w:val="toc 2"/>
    <w:basedOn w:val="1"/>
    <w:next w:val="1"/>
    <w:unhideWhenUsed/>
    <w:qFormat/>
    <w:uiPriority w:val="39"/>
    <w:pPr>
      <w:tabs>
        <w:tab w:val="clear" w:pos="750"/>
      </w:tabs>
      <w:ind w:left="420" w:leftChars="200"/>
    </w:pPr>
  </w:style>
  <w:style w:type="paragraph" w:styleId="28">
    <w:name w:val="HTML Preformatted"/>
    <w:basedOn w:val="1"/>
    <w:link w:val="7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clear" w:pos="750"/>
      </w:tabs>
      <w:spacing w:line="240" w:lineRule="auto"/>
      <w:jc w:val="left"/>
    </w:pPr>
    <w:rPr>
      <w:rFonts w:ascii="宋体" w:hAnsi="宋体" w:cs="Times New Roman"/>
      <w:color w:val="000000"/>
      <w:kern w:val="0"/>
    </w:rPr>
  </w:style>
  <w:style w:type="paragraph" w:styleId="29">
    <w:name w:val="Normal (Web)"/>
    <w:basedOn w:val="1"/>
    <w:unhideWhenUsed/>
    <w:qFormat/>
    <w:uiPriority w:val="0"/>
    <w:pPr>
      <w:widowControl/>
      <w:tabs>
        <w:tab w:val="clear" w:pos="750"/>
      </w:tabs>
      <w:spacing w:before="100" w:beforeAutospacing="1" w:after="100" w:afterAutospacing="1" w:line="240" w:lineRule="auto"/>
      <w:jc w:val="left"/>
    </w:pPr>
    <w:rPr>
      <w:rFonts w:ascii="宋体" w:hAnsi="宋体" w:cs="宋体"/>
      <w:kern w:val="0"/>
    </w:rPr>
  </w:style>
  <w:style w:type="paragraph" w:styleId="30">
    <w:name w:val="Title"/>
    <w:basedOn w:val="6"/>
    <w:next w:val="1"/>
    <w:link w:val="51"/>
    <w:qFormat/>
    <w:uiPriority w:val="10"/>
    <w:pPr>
      <w:spacing w:before="0" w:after="0" w:line="360" w:lineRule="auto"/>
      <w:ind w:left="1009" w:hanging="1009"/>
    </w:pPr>
    <w:rPr>
      <w:rFonts w:ascii="Arial" w:hAnsi="Arial"/>
    </w:rPr>
  </w:style>
  <w:style w:type="character" w:styleId="32">
    <w:name w:val="Strong"/>
    <w:qFormat/>
    <w:uiPriority w:val="0"/>
    <w:rPr>
      <w:b/>
      <w:bCs/>
    </w:rPr>
  </w:style>
  <w:style w:type="character" w:styleId="33">
    <w:name w:val="endnote reference"/>
    <w:basedOn w:val="31"/>
    <w:semiHidden/>
    <w:unhideWhenUsed/>
    <w:qFormat/>
    <w:uiPriority w:val="99"/>
    <w:rPr>
      <w:vertAlign w:val="superscript"/>
    </w:rPr>
  </w:style>
  <w:style w:type="character" w:styleId="34">
    <w:name w:val="page number"/>
    <w:basedOn w:val="31"/>
    <w:qFormat/>
    <w:uiPriority w:val="0"/>
  </w:style>
  <w:style w:type="character" w:styleId="35">
    <w:name w:val="Emphasis"/>
    <w:basedOn w:val="31"/>
    <w:qFormat/>
    <w:uiPriority w:val="20"/>
    <w:rPr>
      <w:i/>
    </w:rPr>
  </w:style>
  <w:style w:type="character" w:styleId="36">
    <w:name w:val="Hyperlink"/>
    <w:basedOn w:val="31"/>
    <w:unhideWhenUsed/>
    <w:qFormat/>
    <w:uiPriority w:val="99"/>
    <w:rPr>
      <w:color w:val="0000FF" w:themeColor="hyperlink"/>
      <w:u w:val="single"/>
    </w:rPr>
  </w:style>
  <w:style w:type="character" w:styleId="37">
    <w:name w:val="annotation reference"/>
    <w:basedOn w:val="31"/>
    <w:semiHidden/>
    <w:unhideWhenUsed/>
    <w:qFormat/>
    <w:uiPriority w:val="99"/>
    <w:rPr>
      <w:sz w:val="21"/>
      <w:szCs w:val="21"/>
    </w:rPr>
  </w:style>
  <w:style w:type="character" w:styleId="38">
    <w:name w:val="footnote reference"/>
    <w:basedOn w:val="31"/>
    <w:semiHidden/>
    <w:unhideWhenUsed/>
    <w:qFormat/>
    <w:uiPriority w:val="99"/>
    <w:rPr>
      <w:vertAlign w:val="superscript"/>
    </w:rPr>
  </w:style>
  <w:style w:type="table" w:styleId="40">
    <w:name w:val="Table Grid"/>
    <w:basedOn w:val="3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41">
    <w:name w:val="标题 1 Char"/>
    <w:link w:val="2"/>
    <w:qFormat/>
    <w:uiPriority w:val="9"/>
    <w:rPr>
      <w:rFonts w:ascii="Arial" w:hAnsi="Arial"/>
      <w:b/>
      <w:bCs/>
      <w:kern w:val="44"/>
      <w:sz w:val="30"/>
      <w:szCs w:val="44"/>
    </w:rPr>
  </w:style>
  <w:style w:type="character" w:customStyle="1" w:styleId="42">
    <w:name w:val="标题 2 Char"/>
    <w:link w:val="3"/>
    <w:qFormat/>
    <w:uiPriority w:val="9"/>
    <w:rPr>
      <w:rFonts w:ascii="Arial" w:hAnsi="Arial"/>
      <w:b/>
      <w:kern w:val="2"/>
      <w:sz w:val="28"/>
      <w:szCs w:val="24"/>
    </w:rPr>
  </w:style>
  <w:style w:type="character" w:customStyle="1" w:styleId="43">
    <w:name w:val="标题 3 Char"/>
    <w:link w:val="4"/>
    <w:qFormat/>
    <w:uiPriority w:val="0"/>
    <w:rPr>
      <w:rFonts w:ascii="Arial" w:hAnsi="Arial"/>
      <w:b/>
      <w:bCs/>
      <w:kern w:val="2"/>
      <w:sz w:val="28"/>
      <w:szCs w:val="32"/>
    </w:rPr>
  </w:style>
  <w:style w:type="character" w:customStyle="1" w:styleId="44">
    <w:name w:val="标题 4 Char"/>
    <w:link w:val="5"/>
    <w:qFormat/>
    <w:uiPriority w:val="0"/>
    <w:rPr>
      <w:rFonts w:ascii="Cambria" w:hAnsi="Cambria"/>
      <w:b/>
      <w:bCs/>
      <w:kern w:val="2"/>
      <w:sz w:val="28"/>
      <w:szCs w:val="28"/>
    </w:rPr>
  </w:style>
  <w:style w:type="character" w:customStyle="1" w:styleId="45">
    <w:name w:val="标题 5 Char"/>
    <w:link w:val="6"/>
    <w:qFormat/>
    <w:uiPriority w:val="9"/>
    <w:rPr>
      <w:rFonts w:ascii="Calibri" w:hAnsi="Calibri"/>
      <w:b/>
      <w:bCs/>
      <w:kern w:val="2"/>
      <w:sz w:val="28"/>
      <w:szCs w:val="28"/>
    </w:rPr>
  </w:style>
  <w:style w:type="character" w:customStyle="1" w:styleId="46">
    <w:name w:val="标题 6 Char"/>
    <w:link w:val="7"/>
    <w:semiHidden/>
    <w:uiPriority w:val="9"/>
    <w:rPr>
      <w:rFonts w:ascii="Cambria" w:hAnsi="Cambria"/>
      <w:b/>
      <w:bCs/>
      <w:kern w:val="2"/>
      <w:sz w:val="24"/>
      <w:szCs w:val="24"/>
    </w:rPr>
  </w:style>
  <w:style w:type="character" w:customStyle="1" w:styleId="47">
    <w:name w:val="标题 7 Char"/>
    <w:link w:val="8"/>
    <w:semiHidden/>
    <w:qFormat/>
    <w:uiPriority w:val="9"/>
    <w:rPr>
      <w:rFonts w:ascii="Calibri" w:hAnsi="Calibri"/>
      <w:b/>
      <w:bCs/>
      <w:kern w:val="2"/>
      <w:sz w:val="24"/>
      <w:szCs w:val="24"/>
    </w:rPr>
  </w:style>
  <w:style w:type="character" w:customStyle="1" w:styleId="48">
    <w:name w:val="标题 8 Char"/>
    <w:link w:val="9"/>
    <w:semiHidden/>
    <w:uiPriority w:val="9"/>
    <w:rPr>
      <w:rFonts w:ascii="Cambria" w:hAnsi="Cambria"/>
      <w:kern w:val="2"/>
      <w:sz w:val="24"/>
      <w:szCs w:val="24"/>
    </w:rPr>
  </w:style>
  <w:style w:type="character" w:customStyle="1" w:styleId="49">
    <w:name w:val="标题 9 Char"/>
    <w:link w:val="10"/>
    <w:semiHidden/>
    <w:qFormat/>
    <w:uiPriority w:val="9"/>
    <w:rPr>
      <w:rFonts w:ascii="Cambria" w:hAnsi="Cambria"/>
      <w:kern w:val="2"/>
      <w:sz w:val="21"/>
      <w:szCs w:val="21"/>
    </w:rPr>
  </w:style>
  <w:style w:type="character" w:customStyle="1" w:styleId="50">
    <w:name w:val="题注 Char"/>
    <w:link w:val="14"/>
    <w:uiPriority w:val="0"/>
    <w:rPr>
      <w:rFonts w:ascii="Cambria" w:hAnsi="Cambria" w:eastAsia="黑体" w:cs="Arial"/>
      <w:kern w:val="2"/>
    </w:rPr>
  </w:style>
  <w:style w:type="character" w:customStyle="1" w:styleId="51">
    <w:name w:val="标题 Char"/>
    <w:link w:val="30"/>
    <w:qFormat/>
    <w:uiPriority w:val="10"/>
    <w:rPr>
      <w:rFonts w:ascii="Arial" w:hAnsi="Arial"/>
      <w:b/>
      <w:bCs/>
      <w:kern w:val="2"/>
      <w:sz w:val="28"/>
      <w:szCs w:val="28"/>
    </w:rPr>
  </w:style>
  <w:style w:type="character" w:customStyle="1" w:styleId="52">
    <w:name w:val="副标题 Char"/>
    <w:link w:val="24"/>
    <w:qFormat/>
    <w:uiPriority w:val="11"/>
    <w:rPr>
      <w:rFonts w:ascii="Cambria" w:hAnsi="Cambria"/>
      <w:b/>
      <w:bCs/>
      <w:kern w:val="28"/>
      <w:sz w:val="21"/>
      <w:szCs w:val="32"/>
    </w:rPr>
  </w:style>
  <w:style w:type="paragraph" w:styleId="53">
    <w:name w:val="No Spacing"/>
    <w:qFormat/>
    <w:uiPriority w:val="1"/>
    <w:pPr>
      <w:widowControl w:val="0"/>
      <w:jc w:val="both"/>
    </w:pPr>
    <w:rPr>
      <w:rFonts w:ascii="宋体" w:hAnsi="Calibri" w:eastAsia="宋体" w:cs="宋体"/>
      <w:sz w:val="21"/>
      <w:szCs w:val="22"/>
      <w:lang w:val="en-US" w:eastAsia="zh-CN" w:bidi="ar-SA"/>
    </w:rPr>
  </w:style>
  <w:style w:type="paragraph" w:styleId="54">
    <w:name w:val="List Paragraph"/>
    <w:basedOn w:val="1"/>
    <w:qFormat/>
    <w:uiPriority w:val="34"/>
    <w:pPr>
      <w:ind w:firstLine="420" w:firstLineChars="200"/>
    </w:pPr>
    <w:rPr>
      <w:rFonts w:ascii="Calibri" w:hAnsi="Calibri"/>
      <w:szCs w:val="22"/>
    </w:rPr>
  </w:style>
  <w:style w:type="paragraph" w:customStyle="1" w:styleId="55">
    <w:name w:val="TOC 标题1"/>
    <w:basedOn w:val="2"/>
    <w:next w:val="1"/>
    <w:unhideWhenUsed/>
    <w:qFormat/>
    <w:uiPriority w:val="39"/>
    <w:pPr>
      <w:widowControl/>
      <w:spacing w:beforeLines="50" w:afterLines="50" w:line="276" w:lineRule="auto"/>
      <w:jc w:val="left"/>
      <w:outlineLvl w:val="9"/>
    </w:pPr>
    <w:rPr>
      <w:rFonts w:ascii="Cambria" w:hAnsi="Cambria" w:cs="Arial"/>
      <w:color w:val="365F91"/>
      <w:kern w:val="0"/>
      <w:sz w:val="28"/>
      <w:szCs w:val="28"/>
    </w:rPr>
  </w:style>
  <w:style w:type="character" w:customStyle="1" w:styleId="56">
    <w:name w:val="页眉 Char"/>
    <w:basedOn w:val="31"/>
    <w:link w:val="22"/>
    <w:qFormat/>
    <w:uiPriority w:val="0"/>
    <w:rPr>
      <w:rFonts w:ascii="Arial" w:hAnsi="Arial" w:cs="Arial"/>
      <w:kern w:val="2"/>
      <w:sz w:val="18"/>
      <w:szCs w:val="18"/>
    </w:rPr>
  </w:style>
  <w:style w:type="character" w:customStyle="1" w:styleId="57">
    <w:name w:val="页脚 Char"/>
    <w:basedOn w:val="31"/>
    <w:link w:val="21"/>
    <w:qFormat/>
    <w:uiPriority w:val="99"/>
    <w:rPr>
      <w:rFonts w:ascii="Arial" w:hAnsi="Arial" w:cs="Arial"/>
      <w:kern w:val="2"/>
      <w:sz w:val="18"/>
      <w:szCs w:val="18"/>
    </w:rPr>
  </w:style>
  <w:style w:type="character" w:customStyle="1" w:styleId="58">
    <w:name w:val="文档结构图 Char"/>
    <w:basedOn w:val="31"/>
    <w:link w:val="15"/>
    <w:semiHidden/>
    <w:qFormat/>
    <w:uiPriority w:val="99"/>
    <w:rPr>
      <w:rFonts w:ascii="宋体" w:hAnsi="Arial" w:cs="Arial"/>
      <w:kern w:val="2"/>
      <w:sz w:val="18"/>
      <w:szCs w:val="18"/>
    </w:rPr>
  </w:style>
  <w:style w:type="paragraph" w:customStyle="1" w:styleId="59">
    <w:name w:val="标题3 仿宋四号加粗"/>
    <w:basedOn w:val="4"/>
    <w:link w:val="60"/>
    <w:qFormat/>
    <w:uiPriority w:val="0"/>
    <w:pPr>
      <w:tabs>
        <w:tab w:val="clear" w:pos="750"/>
      </w:tabs>
      <w:spacing w:before="100" w:after="100" w:line="360" w:lineRule="auto"/>
      <w:ind w:firstLine="551" w:firstLineChars="196"/>
    </w:pPr>
    <w:rPr>
      <w:rFonts w:ascii="Times New Roman" w:hAnsi="Times New Roman" w:eastAsia="仿宋"/>
      <w:szCs w:val="28"/>
    </w:rPr>
  </w:style>
  <w:style w:type="character" w:customStyle="1" w:styleId="60">
    <w:name w:val="标题3 仿宋四号加粗 Char"/>
    <w:basedOn w:val="43"/>
    <w:link w:val="59"/>
    <w:qFormat/>
    <w:uiPriority w:val="0"/>
    <w:rPr>
      <w:rFonts w:ascii="Arial" w:hAnsi="Arial" w:eastAsia="仿宋"/>
      <w:kern w:val="2"/>
      <w:sz w:val="28"/>
      <w:szCs w:val="28"/>
    </w:rPr>
  </w:style>
  <w:style w:type="paragraph" w:customStyle="1" w:styleId="61">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character" w:customStyle="1" w:styleId="62">
    <w:name w:val="脚注文本 Char"/>
    <w:basedOn w:val="31"/>
    <w:link w:val="25"/>
    <w:semiHidden/>
    <w:qFormat/>
    <w:uiPriority w:val="99"/>
    <w:rPr>
      <w:rFonts w:ascii="Arial" w:hAnsi="Arial" w:cs="Arial"/>
      <w:kern w:val="2"/>
      <w:sz w:val="18"/>
      <w:szCs w:val="18"/>
    </w:rPr>
  </w:style>
  <w:style w:type="paragraph" w:customStyle="1" w:styleId="63">
    <w:name w:val="Char Char Char Char Char Char"/>
    <w:basedOn w:val="1"/>
    <w:qFormat/>
    <w:uiPriority w:val="0"/>
    <w:pPr>
      <w:tabs>
        <w:tab w:val="clear" w:pos="750"/>
      </w:tabs>
      <w:spacing w:line="240" w:lineRule="auto"/>
    </w:pPr>
    <w:rPr>
      <w:rFonts w:ascii="Times New Roman" w:hAnsi="Times New Roman" w:cs="Times New Roman"/>
      <w:sz w:val="21"/>
    </w:rPr>
  </w:style>
  <w:style w:type="paragraph" w:customStyle="1" w:styleId="64">
    <w:name w:val="Char Char Char Char Char Char Char Char Char Char Char Char Char Char Char Char Char"/>
    <w:basedOn w:val="1"/>
    <w:qFormat/>
    <w:uiPriority w:val="0"/>
    <w:pPr>
      <w:tabs>
        <w:tab w:val="clear" w:pos="750"/>
      </w:tabs>
      <w:spacing w:line="240" w:lineRule="auto"/>
    </w:pPr>
    <w:rPr>
      <w:rFonts w:ascii="Times New Roman" w:hAnsi="Times New Roman" w:cs="Times New Roman"/>
    </w:rPr>
  </w:style>
  <w:style w:type="paragraph" w:customStyle="1" w:styleId="65">
    <w:name w:val="样式18"/>
    <w:basedOn w:val="1"/>
    <w:link w:val="66"/>
    <w:qFormat/>
    <w:uiPriority w:val="0"/>
    <w:pPr>
      <w:widowControl/>
      <w:tabs>
        <w:tab w:val="clear" w:pos="750"/>
      </w:tabs>
      <w:ind w:firstLine="480" w:firstLineChars="200"/>
      <w:jc w:val="left"/>
    </w:pPr>
    <w:rPr>
      <w:rFonts w:ascii="Calibri" w:hAnsi="Calibri" w:eastAsia="仿宋_GB2312" w:cs="Times New Roman"/>
      <w:kern w:val="0"/>
      <w:lang w:eastAsia="en-US" w:bidi="en-US"/>
    </w:rPr>
  </w:style>
  <w:style w:type="character" w:customStyle="1" w:styleId="66">
    <w:name w:val="样式18 Char"/>
    <w:basedOn w:val="31"/>
    <w:link w:val="65"/>
    <w:qFormat/>
    <w:uiPriority w:val="0"/>
    <w:rPr>
      <w:rFonts w:ascii="Calibri" w:hAnsi="Calibri" w:eastAsia="仿宋_GB2312"/>
      <w:sz w:val="24"/>
      <w:szCs w:val="24"/>
      <w:lang w:eastAsia="en-US" w:bidi="en-US"/>
    </w:rPr>
  </w:style>
  <w:style w:type="character" w:customStyle="1" w:styleId="67">
    <w:name w:val="正文缩进 Char"/>
    <w:basedOn w:val="31"/>
    <w:link w:val="13"/>
    <w:qFormat/>
    <w:uiPriority w:val="0"/>
    <w:rPr>
      <w:kern w:val="2"/>
      <w:sz w:val="21"/>
      <w:szCs w:val="24"/>
    </w:rPr>
  </w:style>
  <w:style w:type="paragraph" w:customStyle="1" w:styleId="68">
    <w:name w:val="aa"/>
    <w:basedOn w:val="1"/>
    <w:qFormat/>
    <w:uiPriority w:val="0"/>
    <w:pPr>
      <w:widowControl/>
      <w:tabs>
        <w:tab w:val="clear" w:pos="750"/>
      </w:tabs>
      <w:spacing w:beforeLines="50" w:afterLines="50"/>
      <w:ind w:firstLine="480" w:firstLineChars="200"/>
      <w:jc w:val="left"/>
    </w:pPr>
    <w:rPr>
      <w:rFonts w:ascii="Times New Roman" w:hAnsi="Times New Roman" w:cs="Times New Roman"/>
      <w:kern w:val="0"/>
    </w:rPr>
  </w:style>
  <w:style w:type="character" w:customStyle="1" w:styleId="69">
    <w:name w:val="正文文本缩进 Char"/>
    <w:basedOn w:val="31"/>
    <w:link w:val="16"/>
    <w:qFormat/>
    <w:uiPriority w:val="0"/>
    <w:rPr>
      <w:color w:val="000000"/>
      <w:sz w:val="28"/>
    </w:rPr>
  </w:style>
  <w:style w:type="character" w:customStyle="1" w:styleId="70">
    <w:name w:val="正文文本缩进 2 Char"/>
    <w:basedOn w:val="31"/>
    <w:link w:val="18"/>
    <w:qFormat/>
    <w:uiPriority w:val="0"/>
    <w:rPr>
      <w:kern w:val="2"/>
      <w:sz w:val="21"/>
      <w:szCs w:val="24"/>
    </w:rPr>
  </w:style>
  <w:style w:type="character" w:customStyle="1" w:styleId="71">
    <w:name w:val="批注框文本 Char"/>
    <w:basedOn w:val="31"/>
    <w:link w:val="20"/>
    <w:semiHidden/>
    <w:qFormat/>
    <w:uiPriority w:val="99"/>
    <w:rPr>
      <w:rFonts w:ascii="Arial" w:hAnsi="Arial" w:cs="Arial"/>
      <w:kern w:val="2"/>
      <w:sz w:val="18"/>
      <w:szCs w:val="18"/>
    </w:rPr>
  </w:style>
  <w:style w:type="character" w:customStyle="1" w:styleId="72">
    <w:name w:val="apple-converted-space"/>
    <w:basedOn w:val="31"/>
    <w:qFormat/>
    <w:uiPriority w:val="0"/>
  </w:style>
  <w:style w:type="character" w:customStyle="1" w:styleId="73">
    <w:name w:val="正文文本缩进 3 Char"/>
    <w:basedOn w:val="31"/>
    <w:link w:val="26"/>
    <w:semiHidden/>
    <w:qFormat/>
    <w:uiPriority w:val="99"/>
    <w:rPr>
      <w:rFonts w:ascii="Arial" w:hAnsi="Arial" w:cs="Arial"/>
      <w:kern w:val="2"/>
      <w:sz w:val="16"/>
      <w:szCs w:val="16"/>
    </w:rPr>
  </w:style>
  <w:style w:type="character" w:customStyle="1" w:styleId="74">
    <w:name w:val="HTML 预设格式 Char"/>
    <w:basedOn w:val="31"/>
    <w:link w:val="28"/>
    <w:qFormat/>
    <w:uiPriority w:val="0"/>
    <w:rPr>
      <w:rFonts w:ascii="宋体" w:hAnsi="宋体"/>
      <w:color w:val="000000"/>
      <w:sz w:val="24"/>
      <w:szCs w:val="24"/>
    </w:rPr>
  </w:style>
  <w:style w:type="paragraph" w:customStyle="1" w:styleId="75">
    <w:name w:val="样式 样式 样式 标题 2 + Times New Roman + 段后: 0.5 行 + 段前: 7.8 磅 段后: 1 行"/>
    <w:basedOn w:val="1"/>
    <w:uiPriority w:val="0"/>
    <w:pPr>
      <w:keepNext/>
      <w:keepLines/>
      <w:tabs>
        <w:tab w:val="clear" w:pos="750"/>
      </w:tabs>
      <w:spacing w:before="156" w:after="312"/>
      <w:outlineLvl w:val="1"/>
    </w:pPr>
    <w:rPr>
      <w:rFonts w:ascii="Times New Roman" w:hAnsi="Times New Roman" w:eastAsia="黑体" w:cs="宋体"/>
      <w:sz w:val="32"/>
      <w:szCs w:val="20"/>
    </w:rPr>
  </w:style>
  <w:style w:type="character" w:customStyle="1" w:styleId="76">
    <w:name w:val="正文文本 Char"/>
    <w:basedOn w:val="31"/>
    <w:qFormat/>
    <w:uiPriority w:val="99"/>
    <w:rPr>
      <w:rFonts w:eastAsia="仿宋_GB2312" w:cs="Times New Roman"/>
      <w:bCs/>
      <w:kern w:val="2"/>
      <w:sz w:val="28"/>
      <w:lang w:val="en-US" w:eastAsia="zh-CN" w:bidi="ar-SA"/>
    </w:rPr>
  </w:style>
  <w:style w:type="character" w:customStyle="1" w:styleId="77">
    <w:name w:val="批注文字 Char"/>
    <w:basedOn w:val="31"/>
    <w:link w:val="12"/>
    <w:semiHidden/>
    <w:qFormat/>
    <w:uiPriority w:val="99"/>
    <w:rPr>
      <w:rFonts w:ascii="Arial" w:hAnsi="Arial" w:cs="Arial"/>
      <w:kern w:val="2"/>
      <w:sz w:val="24"/>
      <w:szCs w:val="24"/>
    </w:rPr>
  </w:style>
  <w:style w:type="character" w:customStyle="1" w:styleId="78">
    <w:name w:val="批注主题 Char"/>
    <w:basedOn w:val="77"/>
    <w:link w:val="11"/>
    <w:semiHidden/>
    <w:uiPriority w:val="99"/>
    <w:rPr>
      <w:rFonts w:ascii="Arial" w:hAnsi="Arial" w:cs="Arial"/>
      <w:b/>
      <w:bCs/>
      <w:kern w:val="2"/>
      <w:sz w:val="24"/>
      <w:szCs w:val="24"/>
    </w:rPr>
  </w:style>
  <w:style w:type="paragraph" w:customStyle="1" w:styleId="79">
    <w:name w:val="Char Char Char Char Char Char1"/>
    <w:basedOn w:val="1"/>
    <w:qFormat/>
    <w:uiPriority w:val="0"/>
    <w:pPr>
      <w:tabs>
        <w:tab w:val="clear" w:pos="750"/>
      </w:tabs>
      <w:spacing w:line="240" w:lineRule="auto"/>
    </w:pPr>
    <w:rPr>
      <w:rFonts w:ascii="Times New Roman" w:hAnsi="Times New Roman" w:cs="Times New Roman"/>
      <w:sz w:val="21"/>
    </w:rPr>
  </w:style>
  <w:style w:type="character" w:customStyle="1" w:styleId="80">
    <w:name w:val="题注 Char1"/>
    <w:basedOn w:val="31"/>
    <w:qFormat/>
    <w:uiPriority w:val="35"/>
    <w:rPr>
      <w:rFonts w:ascii="Arial" w:hAnsi="Arial" w:eastAsia="黑体" w:cs="Arial"/>
      <w:sz w:val="20"/>
      <w:szCs w:val="20"/>
    </w:rPr>
  </w:style>
  <w:style w:type="character" w:customStyle="1" w:styleId="81">
    <w:name w:val="尾注文本 Char"/>
    <w:basedOn w:val="31"/>
    <w:link w:val="19"/>
    <w:semiHidden/>
    <w:qFormat/>
    <w:uiPriority w:val="99"/>
    <w:rPr>
      <w:rFonts w:ascii="Arial" w:hAnsi="Arial" w:cs="Arial"/>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tiff"/><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4098"/>
    <customShpInfo spid="_x0000_s4097"/>
    <customShpInfo spid="_x0000_s4100"/>
    <customShpInfo spid="_x0000_s4101"/>
    <customShpInfo spid="_x0000_s409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ED4D18E-AB98-4125-A45B-93EA8B6EE7D9}">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58</Pages>
  <Words>4182</Words>
  <Characters>23840</Characters>
  <Lines>198</Lines>
  <Paragraphs>55</Paragraphs>
  <TotalTime>0</TotalTime>
  <ScaleCrop>false</ScaleCrop>
  <LinksUpToDate>false</LinksUpToDate>
  <CharactersWithSpaces>27967</CharactersWithSpaces>
  <Application>WPS Office_10.1.0.7245_F1E327BC-269C-435d-A152-05C5408002CA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2018-06-05T08:47:00Z</dcterms:created>
  <dc:creator>lenovo</dc:creator>
  <cp:lastModifiedBy>木易杨</cp:lastModifiedBy>
  <cp:lastPrinted>2016-03-24T03:08:00Z</cp:lastPrinted>
  <dcterms:modified xsi:type="dcterms:W3CDTF">2018-06-25T01:23:29Z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2052-10.1.0.7245</vt:lpwstr>
  </property>
</Properties>
</file>